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D4403">
      <w:pPr>
        <w:adjustRightInd w:val="0"/>
        <w:snapToGrid w:val="0"/>
        <w:spacing w:line="240" w:lineRule="auto"/>
        <w:ind w:firstLine="0" w:firstLineChars="0"/>
        <w:jc w:val="center"/>
        <w:rPr>
          <w:bCs/>
          <w:sz w:val="72"/>
          <w:szCs w:val="72"/>
        </w:rPr>
      </w:pPr>
    </w:p>
    <w:p w14:paraId="2B011727">
      <w:pPr>
        <w:adjustRightInd w:val="0"/>
        <w:snapToGrid w:val="0"/>
        <w:spacing w:line="240" w:lineRule="auto"/>
        <w:ind w:firstLine="0" w:firstLineChars="0"/>
        <w:jc w:val="center"/>
        <w:outlineLvl w:val="0"/>
        <w:rPr>
          <w:bCs/>
          <w:sz w:val="72"/>
          <w:szCs w:val="72"/>
        </w:rPr>
      </w:pPr>
      <w:r>
        <w:rPr>
          <w:bCs/>
          <w:sz w:val="72"/>
          <w:szCs w:val="72"/>
        </w:rPr>
        <w:t>建设项目环境影响报告表</w:t>
      </w:r>
    </w:p>
    <w:p w14:paraId="51F0BC3F">
      <w:pPr>
        <w:adjustRightInd w:val="0"/>
        <w:snapToGrid w:val="0"/>
        <w:spacing w:before="192" w:beforeLines="80" w:line="240" w:lineRule="auto"/>
        <w:ind w:firstLine="0" w:firstLineChars="0"/>
        <w:jc w:val="center"/>
        <w:rPr>
          <w:bCs/>
          <w:sz w:val="48"/>
          <w:szCs w:val="48"/>
        </w:rPr>
      </w:pPr>
      <w:r>
        <w:rPr>
          <w:bCs/>
          <w:sz w:val="48"/>
          <w:szCs w:val="48"/>
        </w:rPr>
        <w:t>（污染影响类）</w:t>
      </w:r>
    </w:p>
    <w:p w14:paraId="35C3C5C5">
      <w:pPr>
        <w:spacing w:line="240" w:lineRule="auto"/>
        <w:ind w:firstLine="0" w:firstLineChars="0"/>
        <w:rPr>
          <w:sz w:val="21"/>
        </w:rPr>
      </w:pPr>
    </w:p>
    <w:p w14:paraId="588CC741">
      <w:pPr>
        <w:spacing w:line="240" w:lineRule="auto"/>
        <w:ind w:firstLine="0" w:firstLineChars="0"/>
        <w:jc w:val="center"/>
        <w:rPr>
          <w:sz w:val="52"/>
          <w:szCs w:val="52"/>
        </w:rPr>
      </w:pPr>
    </w:p>
    <w:p w14:paraId="5190F654">
      <w:pPr>
        <w:spacing w:line="240" w:lineRule="auto"/>
        <w:ind w:firstLine="1040" w:firstLineChars="0"/>
        <w:rPr>
          <w:sz w:val="44"/>
          <w:szCs w:val="44"/>
        </w:rPr>
      </w:pPr>
    </w:p>
    <w:p w14:paraId="321720AC">
      <w:pPr>
        <w:spacing w:line="240" w:lineRule="auto"/>
        <w:ind w:firstLine="1040" w:firstLineChars="0"/>
        <w:rPr>
          <w:sz w:val="44"/>
          <w:szCs w:val="44"/>
        </w:rPr>
      </w:pPr>
    </w:p>
    <w:p w14:paraId="21DEA12C">
      <w:pPr>
        <w:spacing w:line="240" w:lineRule="auto"/>
        <w:ind w:firstLine="1040" w:firstLineChars="0"/>
        <w:rPr>
          <w:sz w:val="44"/>
          <w:szCs w:val="44"/>
        </w:rPr>
      </w:pPr>
    </w:p>
    <w:p w14:paraId="2A7453AC">
      <w:pPr>
        <w:spacing w:line="240" w:lineRule="auto"/>
        <w:ind w:firstLine="1040" w:firstLineChars="0"/>
        <w:rPr>
          <w:sz w:val="44"/>
          <w:szCs w:val="44"/>
        </w:rPr>
      </w:pPr>
    </w:p>
    <w:p w14:paraId="7CA0999E">
      <w:pPr>
        <w:adjustRightInd w:val="0"/>
        <w:snapToGrid w:val="0"/>
        <w:spacing w:line="288" w:lineRule="auto"/>
        <w:rPr>
          <w:rFonts w:hint="eastAsia" w:eastAsia="宋体"/>
          <w:sz w:val="36"/>
          <w:szCs w:val="36"/>
          <w:u w:val="single"/>
          <w:lang w:eastAsia="zh-CN"/>
        </w:rPr>
      </w:pPr>
      <w:r>
        <w:rPr>
          <w:sz w:val="36"/>
          <w:szCs w:val="36"/>
        </w:rPr>
        <w:t>项目名称：</w:t>
      </w:r>
      <w:r>
        <w:rPr>
          <w:rFonts w:hint="eastAsia"/>
          <w:sz w:val="36"/>
          <w:szCs w:val="36"/>
          <w:u w:val="single"/>
          <w:lang w:eastAsia="zh-CN"/>
        </w:rPr>
        <w:t>广东高硕新材料科技有限公司建设项目</w:t>
      </w:r>
    </w:p>
    <w:p w14:paraId="7BCF76D4">
      <w:pPr>
        <w:adjustRightInd w:val="0"/>
        <w:snapToGrid w:val="0"/>
        <w:ind w:firstLine="480"/>
        <w:rPr>
          <w:kern w:val="0"/>
          <w:szCs w:val="22"/>
        </w:rPr>
      </w:pPr>
    </w:p>
    <w:p w14:paraId="398FA9C0">
      <w:pPr>
        <w:adjustRightInd w:val="0"/>
        <w:snapToGrid w:val="0"/>
        <w:spacing w:line="288" w:lineRule="auto"/>
        <w:rPr>
          <w:rFonts w:hint="eastAsia" w:eastAsia="宋体"/>
          <w:sz w:val="36"/>
          <w:szCs w:val="36"/>
          <w:lang w:eastAsia="zh-CN"/>
        </w:rPr>
      </w:pPr>
      <w:r>
        <w:rPr>
          <w:sz w:val="36"/>
          <w:szCs w:val="36"/>
        </w:rPr>
        <w:t>建设单位（盖章）：</w:t>
      </w:r>
      <w:r>
        <w:rPr>
          <w:rFonts w:hint="eastAsia"/>
          <w:sz w:val="36"/>
          <w:szCs w:val="36"/>
          <w:u w:val="single"/>
          <w:lang w:eastAsia="zh-CN"/>
        </w:rPr>
        <w:t>广东高硕新材料科技有限公司</w:t>
      </w:r>
    </w:p>
    <w:p w14:paraId="1EEEB860">
      <w:pPr>
        <w:adjustRightInd w:val="0"/>
        <w:snapToGrid w:val="0"/>
        <w:spacing w:line="288" w:lineRule="auto"/>
        <w:ind w:firstLine="1080" w:firstLineChars="300"/>
        <w:rPr>
          <w:sz w:val="36"/>
          <w:szCs w:val="36"/>
        </w:rPr>
      </w:pPr>
    </w:p>
    <w:p w14:paraId="3995E098">
      <w:pPr>
        <w:adjustRightInd w:val="0"/>
        <w:snapToGrid w:val="0"/>
        <w:spacing w:line="288" w:lineRule="auto"/>
        <w:ind w:firstLine="1080" w:firstLineChars="300"/>
        <w:rPr>
          <w:sz w:val="36"/>
          <w:szCs w:val="36"/>
        </w:rPr>
      </w:pPr>
    </w:p>
    <w:p w14:paraId="0096C862">
      <w:pPr>
        <w:adjustRightInd w:val="0"/>
        <w:snapToGrid w:val="0"/>
        <w:spacing w:line="288" w:lineRule="auto"/>
        <w:ind w:firstLine="1080" w:firstLineChars="300"/>
        <w:rPr>
          <w:sz w:val="36"/>
          <w:szCs w:val="36"/>
        </w:rPr>
      </w:pPr>
    </w:p>
    <w:p w14:paraId="074386F4">
      <w:pPr>
        <w:adjustRightInd w:val="0"/>
        <w:snapToGrid w:val="0"/>
        <w:spacing w:line="288" w:lineRule="auto"/>
        <w:ind w:firstLine="1080" w:firstLineChars="300"/>
        <w:rPr>
          <w:sz w:val="36"/>
          <w:szCs w:val="36"/>
        </w:rPr>
      </w:pPr>
    </w:p>
    <w:p w14:paraId="76062314">
      <w:pPr>
        <w:adjustRightInd w:val="0"/>
        <w:snapToGrid w:val="0"/>
        <w:spacing w:line="288" w:lineRule="auto"/>
        <w:ind w:firstLine="1080" w:firstLineChars="300"/>
        <w:rPr>
          <w:sz w:val="36"/>
          <w:szCs w:val="36"/>
        </w:rPr>
      </w:pPr>
    </w:p>
    <w:p w14:paraId="28144F3C">
      <w:pPr>
        <w:adjustRightInd w:val="0"/>
        <w:snapToGrid w:val="0"/>
        <w:spacing w:line="288" w:lineRule="auto"/>
        <w:ind w:firstLine="1080" w:firstLineChars="300"/>
        <w:rPr>
          <w:sz w:val="36"/>
          <w:szCs w:val="36"/>
        </w:rPr>
      </w:pPr>
    </w:p>
    <w:p w14:paraId="1C97673E">
      <w:pPr>
        <w:adjustRightInd w:val="0"/>
        <w:snapToGrid w:val="0"/>
        <w:spacing w:line="288" w:lineRule="auto"/>
        <w:ind w:firstLine="1080" w:firstLineChars="300"/>
        <w:rPr>
          <w:sz w:val="36"/>
          <w:szCs w:val="36"/>
        </w:rPr>
      </w:pPr>
    </w:p>
    <w:p w14:paraId="38500772">
      <w:pPr>
        <w:adjustRightInd w:val="0"/>
        <w:snapToGrid w:val="0"/>
        <w:spacing w:line="288" w:lineRule="auto"/>
        <w:ind w:firstLine="2520" w:firstLineChars="700"/>
        <w:rPr>
          <w:sz w:val="36"/>
          <w:szCs w:val="36"/>
          <w:u w:val="single"/>
        </w:rPr>
      </w:pPr>
      <w:r>
        <w:rPr>
          <w:sz w:val="36"/>
          <w:szCs w:val="36"/>
        </w:rPr>
        <w:t>编制日期：</w:t>
      </w:r>
      <w:r>
        <w:rPr>
          <w:sz w:val="36"/>
          <w:szCs w:val="36"/>
          <w:u w:val="single"/>
        </w:rPr>
        <w:t>202</w:t>
      </w:r>
      <w:r>
        <w:rPr>
          <w:rFonts w:hint="eastAsia"/>
          <w:sz w:val="36"/>
          <w:szCs w:val="36"/>
          <w:u w:val="single"/>
          <w:lang w:val="en-US" w:eastAsia="zh-CN"/>
        </w:rPr>
        <w:t>5</w:t>
      </w:r>
      <w:r>
        <w:rPr>
          <w:sz w:val="36"/>
          <w:szCs w:val="36"/>
          <w:u w:val="single"/>
        </w:rPr>
        <w:t>年</w:t>
      </w:r>
      <w:r>
        <w:rPr>
          <w:rFonts w:hint="eastAsia"/>
          <w:sz w:val="36"/>
          <w:szCs w:val="36"/>
          <w:u w:val="single"/>
          <w:lang w:val="en-US" w:eastAsia="zh-CN"/>
        </w:rPr>
        <w:t>5</w:t>
      </w:r>
      <w:r>
        <w:rPr>
          <w:sz w:val="36"/>
          <w:szCs w:val="36"/>
          <w:u w:val="single"/>
        </w:rPr>
        <w:t>月</w:t>
      </w:r>
      <w:bookmarkStart w:id="0" w:name="_Hlk57884087"/>
    </w:p>
    <w:p w14:paraId="406F0BF3">
      <w:pPr>
        <w:adjustRightInd w:val="0"/>
        <w:snapToGrid w:val="0"/>
        <w:spacing w:line="288" w:lineRule="auto"/>
        <w:ind w:firstLine="1040" w:firstLineChars="0"/>
        <w:rPr>
          <w:sz w:val="36"/>
          <w:szCs w:val="36"/>
        </w:rPr>
      </w:pPr>
    </w:p>
    <w:bookmarkEnd w:id="0"/>
    <w:p w14:paraId="2F3DCB47">
      <w:pPr>
        <w:spacing w:line="240" w:lineRule="auto"/>
        <w:ind w:firstLine="0" w:firstLineChars="0"/>
        <w:jc w:val="center"/>
        <w:rPr>
          <w:b/>
          <w:bCs/>
          <w:sz w:val="44"/>
          <w:szCs w:val="44"/>
        </w:rPr>
      </w:pPr>
      <w:r>
        <w:rPr>
          <w:sz w:val="36"/>
          <w:szCs w:val="36"/>
        </w:rPr>
        <w:t>中华人民共和国生态环境部制</w:t>
      </w:r>
    </w:p>
    <w:p w14:paraId="6AD6006F">
      <w:pPr>
        <w:pStyle w:val="3"/>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68372076">
      <w:pPr>
        <w:pStyle w:val="2"/>
        <w:adjustRightInd w:val="0"/>
        <w:spacing w:line="300" w:lineRule="auto"/>
        <w:ind w:left="0" w:firstLine="0" w:firstLineChars="0"/>
        <w:rPr>
          <w:color w:val="auto"/>
          <w:sz w:val="28"/>
          <w:szCs w:val="28"/>
        </w:rPr>
      </w:pPr>
      <w:bookmarkStart w:id="1" w:name="_Toc26806"/>
      <w:bookmarkStart w:id="2" w:name="_Toc4900"/>
      <w:r>
        <w:rPr>
          <w:color w:val="auto"/>
          <w:sz w:val="28"/>
          <w:szCs w:val="28"/>
        </w:rPr>
        <w:t>一、建设项目基本情况</w:t>
      </w:r>
      <w:bookmarkEnd w:id="1"/>
      <w:bookmarkEnd w:id="2"/>
    </w:p>
    <w:tbl>
      <w:tblPr>
        <w:tblStyle w:val="31"/>
        <w:tblW w:w="88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8"/>
        <w:gridCol w:w="1354"/>
        <w:gridCol w:w="2140"/>
        <w:gridCol w:w="2103"/>
        <w:gridCol w:w="2639"/>
      </w:tblGrid>
      <w:tr w14:paraId="010DA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gridSpan w:val="2"/>
            <w:tcMar>
              <w:top w:w="16" w:type="dxa"/>
              <w:left w:w="16" w:type="dxa"/>
              <w:right w:w="16" w:type="dxa"/>
            </w:tcMar>
            <w:vAlign w:val="center"/>
          </w:tcPr>
          <w:p w14:paraId="3BAE04D2">
            <w:pPr>
              <w:spacing w:before="48" w:beforeLines="20" w:after="48" w:afterLines="20" w:line="240" w:lineRule="auto"/>
              <w:ind w:firstLine="0" w:firstLineChars="0"/>
              <w:jc w:val="center"/>
            </w:pPr>
            <w:r>
              <w:t>建设项目名称</w:t>
            </w:r>
          </w:p>
        </w:tc>
        <w:tc>
          <w:tcPr>
            <w:tcW w:w="6882" w:type="dxa"/>
            <w:gridSpan w:val="3"/>
            <w:vAlign w:val="center"/>
          </w:tcPr>
          <w:p w14:paraId="73CD5360">
            <w:pPr>
              <w:spacing w:before="48" w:beforeLines="20" w:after="48" w:afterLines="20" w:line="240" w:lineRule="auto"/>
              <w:ind w:firstLine="0" w:firstLineChars="0"/>
              <w:jc w:val="center"/>
              <w:rPr>
                <w:rFonts w:hint="eastAsia" w:eastAsia="宋体"/>
                <w:lang w:eastAsia="zh-CN"/>
              </w:rPr>
            </w:pPr>
            <w:r>
              <w:rPr>
                <w:rFonts w:hint="eastAsia"/>
                <w:lang w:eastAsia="zh-CN"/>
              </w:rPr>
              <w:t>广东高硕新材料科技有限公司建设项目</w:t>
            </w:r>
          </w:p>
        </w:tc>
      </w:tr>
      <w:tr w14:paraId="39474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gridSpan w:val="2"/>
            <w:tcMar>
              <w:top w:w="16" w:type="dxa"/>
              <w:left w:w="16" w:type="dxa"/>
              <w:right w:w="16" w:type="dxa"/>
            </w:tcMar>
            <w:vAlign w:val="center"/>
          </w:tcPr>
          <w:p w14:paraId="35F97FE6">
            <w:pPr>
              <w:spacing w:before="48" w:beforeLines="20" w:after="48" w:afterLines="20" w:line="240" w:lineRule="auto"/>
              <w:ind w:firstLine="0" w:firstLineChars="0"/>
              <w:jc w:val="center"/>
            </w:pPr>
            <w:r>
              <w:t>项目代码</w:t>
            </w:r>
          </w:p>
        </w:tc>
        <w:tc>
          <w:tcPr>
            <w:tcW w:w="6882" w:type="dxa"/>
            <w:gridSpan w:val="3"/>
            <w:vAlign w:val="center"/>
          </w:tcPr>
          <w:p w14:paraId="7453C041">
            <w:pPr>
              <w:spacing w:before="48" w:beforeLines="20" w:after="48" w:afterLines="20" w:line="240" w:lineRule="auto"/>
              <w:ind w:firstLine="0" w:firstLineChars="0"/>
              <w:jc w:val="center"/>
            </w:pPr>
            <w:r>
              <w:rPr>
                <w:rFonts w:hint="eastAsia"/>
              </w:rPr>
              <w:t>2404-440513-04-01-829856</w:t>
            </w:r>
          </w:p>
        </w:tc>
      </w:tr>
      <w:tr w14:paraId="28962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gridSpan w:val="2"/>
            <w:tcMar>
              <w:top w:w="16" w:type="dxa"/>
              <w:left w:w="16" w:type="dxa"/>
              <w:right w:w="16" w:type="dxa"/>
            </w:tcMar>
            <w:vAlign w:val="center"/>
          </w:tcPr>
          <w:p w14:paraId="14B506E1">
            <w:pPr>
              <w:spacing w:before="48" w:beforeLines="20" w:after="48" w:afterLines="20" w:line="240" w:lineRule="auto"/>
              <w:ind w:firstLine="0" w:firstLineChars="0"/>
              <w:jc w:val="center"/>
            </w:pPr>
            <w:r>
              <w:t>建设单位联系人</w:t>
            </w:r>
          </w:p>
        </w:tc>
        <w:tc>
          <w:tcPr>
            <w:tcW w:w="2140" w:type="dxa"/>
            <w:vAlign w:val="center"/>
          </w:tcPr>
          <w:p w14:paraId="777FA1A0">
            <w:pPr>
              <w:spacing w:before="48" w:beforeLines="20" w:after="48" w:afterLines="20" w:line="240" w:lineRule="auto"/>
              <w:ind w:firstLine="0" w:firstLineChars="0"/>
              <w:jc w:val="center"/>
            </w:pPr>
            <w:r>
              <w:rPr>
                <w:rFonts w:hint="eastAsia"/>
              </w:rPr>
              <w:t>蓝海峰</w:t>
            </w:r>
          </w:p>
        </w:tc>
        <w:tc>
          <w:tcPr>
            <w:tcW w:w="2103" w:type="dxa"/>
            <w:vAlign w:val="center"/>
          </w:tcPr>
          <w:p w14:paraId="51AC8A45">
            <w:pPr>
              <w:spacing w:before="48" w:beforeLines="20" w:after="48" w:afterLines="20" w:line="240" w:lineRule="auto"/>
              <w:ind w:firstLine="0" w:firstLineChars="0"/>
              <w:jc w:val="center"/>
            </w:pPr>
            <w:r>
              <w:t>联系方式</w:t>
            </w:r>
          </w:p>
        </w:tc>
        <w:tc>
          <w:tcPr>
            <w:tcW w:w="2639" w:type="dxa"/>
            <w:vAlign w:val="center"/>
          </w:tcPr>
          <w:p w14:paraId="313590E2">
            <w:pPr>
              <w:spacing w:before="48" w:beforeLines="20" w:after="48" w:afterLines="20" w:line="240" w:lineRule="auto"/>
              <w:ind w:firstLine="0" w:firstLineChars="0"/>
              <w:jc w:val="center"/>
            </w:pPr>
            <w:r>
              <w:t>18671116111</w:t>
            </w:r>
          </w:p>
        </w:tc>
      </w:tr>
      <w:tr w14:paraId="1A7C3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gridSpan w:val="2"/>
            <w:tcMar>
              <w:top w:w="16" w:type="dxa"/>
              <w:left w:w="16" w:type="dxa"/>
              <w:right w:w="16" w:type="dxa"/>
            </w:tcMar>
            <w:vAlign w:val="center"/>
          </w:tcPr>
          <w:p w14:paraId="63A89A9B">
            <w:pPr>
              <w:spacing w:before="48" w:beforeLines="20" w:after="48" w:afterLines="20" w:line="240" w:lineRule="auto"/>
              <w:ind w:firstLine="0" w:firstLineChars="0"/>
              <w:jc w:val="center"/>
            </w:pPr>
            <w:r>
              <w:t>建设地点</w:t>
            </w:r>
          </w:p>
        </w:tc>
        <w:tc>
          <w:tcPr>
            <w:tcW w:w="6882" w:type="dxa"/>
            <w:gridSpan w:val="3"/>
            <w:vAlign w:val="center"/>
          </w:tcPr>
          <w:p w14:paraId="7909B173">
            <w:pPr>
              <w:spacing w:before="48" w:beforeLines="20" w:after="48" w:afterLines="20" w:line="240" w:lineRule="auto"/>
              <w:ind w:firstLine="0" w:firstLineChars="0"/>
              <w:jc w:val="center"/>
            </w:pPr>
            <w:r>
              <w:rPr>
                <w:rFonts w:hint="eastAsia"/>
              </w:rPr>
              <w:t>汕头市潮阳区文光街道双望居委白竹洋（汕头市兄弟塑胶实业有限公司内之二）</w:t>
            </w:r>
          </w:p>
        </w:tc>
      </w:tr>
      <w:tr w14:paraId="29852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gridSpan w:val="2"/>
            <w:tcMar>
              <w:top w:w="16" w:type="dxa"/>
              <w:left w:w="16" w:type="dxa"/>
              <w:right w:w="16" w:type="dxa"/>
            </w:tcMar>
            <w:vAlign w:val="center"/>
          </w:tcPr>
          <w:p w14:paraId="3CC196FD">
            <w:pPr>
              <w:spacing w:before="48" w:beforeLines="20" w:after="48" w:afterLines="20" w:line="240" w:lineRule="auto"/>
              <w:ind w:firstLine="0" w:firstLineChars="0"/>
              <w:jc w:val="center"/>
            </w:pPr>
            <w:r>
              <w:t>地理坐标</w:t>
            </w:r>
          </w:p>
        </w:tc>
        <w:tc>
          <w:tcPr>
            <w:tcW w:w="6882" w:type="dxa"/>
            <w:gridSpan w:val="3"/>
            <w:vAlign w:val="center"/>
          </w:tcPr>
          <w:p w14:paraId="5ABE72D5">
            <w:pPr>
              <w:spacing w:before="48" w:beforeLines="20" w:after="48" w:afterLines="20" w:line="240" w:lineRule="auto"/>
              <w:ind w:firstLine="0" w:firstLineChars="0"/>
              <w:jc w:val="center"/>
            </w:pPr>
            <w:r>
              <w:t>（</w:t>
            </w:r>
            <w:r>
              <w:rPr>
                <w:u w:val="single"/>
              </w:rPr>
              <w:t>116</w:t>
            </w:r>
            <w:r>
              <w:t>度</w:t>
            </w:r>
            <w:r>
              <w:rPr>
                <w:u w:val="single"/>
              </w:rPr>
              <w:t>26</w:t>
            </w:r>
            <w:r>
              <w:t>分</w:t>
            </w:r>
            <w:r>
              <w:rPr>
                <w:u w:val="single"/>
              </w:rPr>
              <w:t>23.262</w:t>
            </w:r>
            <w:r>
              <w:t>秒，</w:t>
            </w:r>
            <w:r>
              <w:rPr>
                <w:u w:val="single"/>
              </w:rPr>
              <w:t>23</w:t>
            </w:r>
            <w:r>
              <w:t>度</w:t>
            </w:r>
            <w:r>
              <w:rPr>
                <w:u w:val="single"/>
              </w:rPr>
              <w:t>18</w:t>
            </w:r>
            <w:r>
              <w:t>分</w:t>
            </w:r>
            <w:r>
              <w:rPr>
                <w:u w:val="single"/>
              </w:rPr>
              <w:t>13.185</w:t>
            </w:r>
            <w:r>
              <w:t>秒）</w:t>
            </w:r>
          </w:p>
        </w:tc>
      </w:tr>
      <w:tr w14:paraId="6EE59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92" w:type="dxa"/>
            <w:gridSpan w:val="2"/>
            <w:tcMar>
              <w:top w:w="16" w:type="dxa"/>
              <w:left w:w="16" w:type="dxa"/>
              <w:right w:w="16" w:type="dxa"/>
            </w:tcMar>
            <w:vAlign w:val="center"/>
          </w:tcPr>
          <w:p w14:paraId="386850F8">
            <w:pPr>
              <w:spacing w:before="48" w:beforeLines="20" w:after="48" w:afterLines="20" w:line="240" w:lineRule="auto"/>
              <w:ind w:firstLine="0" w:firstLineChars="0"/>
              <w:jc w:val="center"/>
            </w:pPr>
            <w:r>
              <w:t>国民经济</w:t>
            </w:r>
          </w:p>
          <w:p w14:paraId="4A8475E3">
            <w:pPr>
              <w:spacing w:before="48" w:beforeLines="20" w:after="48" w:afterLines="20" w:line="240" w:lineRule="auto"/>
              <w:ind w:firstLine="0" w:firstLineChars="0"/>
              <w:jc w:val="center"/>
            </w:pPr>
            <w:r>
              <w:t>行业类别</w:t>
            </w:r>
          </w:p>
        </w:tc>
        <w:tc>
          <w:tcPr>
            <w:tcW w:w="2140" w:type="dxa"/>
            <w:vAlign w:val="center"/>
          </w:tcPr>
          <w:p w14:paraId="22795A5B">
            <w:pPr>
              <w:spacing w:before="48" w:beforeLines="20" w:after="48" w:afterLines="20" w:line="240" w:lineRule="auto"/>
              <w:ind w:firstLine="0" w:firstLineChars="0"/>
              <w:jc w:val="center"/>
              <w:rPr>
                <w:rFonts w:hint="default" w:eastAsia="宋体"/>
                <w:lang w:val="en-US" w:eastAsia="zh-CN"/>
              </w:rPr>
            </w:pPr>
            <w:r>
              <w:rPr>
                <w:rFonts w:hint="eastAsia"/>
                <w:lang w:val="en-US" w:eastAsia="zh-CN"/>
              </w:rPr>
              <w:t>C2661化学试剂和助剂制造</w:t>
            </w:r>
          </w:p>
        </w:tc>
        <w:tc>
          <w:tcPr>
            <w:tcW w:w="2103" w:type="dxa"/>
            <w:vAlign w:val="center"/>
          </w:tcPr>
          <w:p w14:paraId="318BC4A6">
            <w:pPr>
              <w:spacing w:before="48" w:beforeLines="20" w:after="48" w:afterLines="20" w:line="240" w:lineRule="auto"/>
              <w:ind w:firstLine="0" w:firstLineChars="0"/>
              <w:jc w:val="center"/>
            </w:pPr>
            <w:bookmarkStart w:id="3" w:name="_Hlk49843745"/>
            <w:r>
              <w:t>建设项目</w:t>
            </w:r>
          </w:p>
          <w:p w14:paraId="7A7BD47B">
            <w:pPr>
              <w:spacing w:before="48" w:beforeLines="20" w:after="48" w:afterLines="20" w:line="240" w:lineRule="auto"/>
              <w:ind w:firstLine="0" w:firstLineChars="0"/>
              <w:jc w:val="center"/>
            </w:pPr>
            <w:r>
              <w:t>行业类别</w:t>
            </w:r>
            <w:bookmarkEnd w:id="3"/>
          </w:p>
        </w:tc>
        <w:tc>
          <w:tcPr>
            <w:tcW w:w="2639" w:type="dxa"/>
            <w:vAlign w:val="center"/>
          </w:tcPr>
          <w:p w14:paraId="66EC1F6D">
            <w:pPr>
              <w:spacing w:before="48" w:beforeLines="20" w:after="48" w:afterLines="20" w:line="240" w:lineRule="auto"/>
              <w:ind w:firstLine="0" w:firstLineChars="0"/>
              <w:jc w:val="center"/>
              <w:rPr>
                <w:rFonts w:hint="eastAsia"/>
                <w:lang w:val="en-US" w:eastAsia="zh-CN"/>
              </w:rPr>
            </w:pPr>
            <w:r>
              <w:rPr>
                <w:rFonts w:hint="eastAsia"/>
                <w:lang w:val="en-US" w:eastAsia="zh-CN"/>
              </w:rPr>
              <w:t>二十三、化学原料和化学制品制造业 26-44 专用化学产品制造 266-单纯物理分离、物理提纯、混合、分装的（不</w:t>
            </w:r>
          </w:p>
          <w:p w14:paraId="61DF8EF5">
            <w:pPr>
              <w:spacing w:before="48" w:beforeLines="20" w:after="48" w:afterLines="20" w:line="240" w:lineRule="auto"/>
              <w:ind w:firstLine="0" w:firstLineChars="0"/>
              <w:jc w:val="center"/>
              <w:rPr>
                <w:rFonts w:hint="eastAsia" w:eastAsia="宋体"/>
                <w:lang w:eastAsia="zh-CN"/>
              </w:rPr>
            </w:pPr>
            <w:r>
              <w:rPr>
                <w:rFonts w:hint="eastAsia"/>
                <w:lang w:val="en-US" w:eastAsia="zh-CN"/>
              </w:rPr>
              <w:t>产生废水或挥发性有机物的除外）</w:t>
            </w:r>
          </w:p>
        </w:tc>
      </w:tr>
      <w:tr w14:paraId="7C834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92" w:type="dxa"/>
            <w:gridSpan w:val="2"/>
            <w:tcMar>
              <w:top w:w="16" w:type="dxa"/>
              <w:left w:w="16" w:type="dxa"/>
              <w:right w:w="16" w:type="dxa"/>
            </w:tcMar>
            <w:vAlign w:val="center"/>
          </w:tcPr>
          <w:p w14:paraId="257A890E">
            <w:pPr>
              <w:adjustRightInd w:val="0"/>
              <w:spacing w:before="48" w:beforeLines="20" w:after="48" w:afterLines="20" w:line="240" w:lineRule="auto"/>
              <w:ind w:firstLine="0" w:firstLineChars="0"/>
              <w:jc w:val="center"/>
            </w:pPr>
            <w:r>
              <w:t>建设性质</w:t>
            </w:r>
          </w:p>
        </w:tc>
        <w:tc>
          <w:tcPr>
            <w:tcW w:w="2140" w:type="dxa"/>
            <w:vAlign w:val="center"/>
          </w:tcPr>
          <w:p w14:paraId="463D8A24">
            <w:pPr>
              <w:spacing w:before="48" w:beforeLines="20" w:after="48" w:afterLines="20" w:line="240" w:lineRule="auto"/>
              <w:ind w:firstLine="0" w:firstLineChars="0"/>
              <w:jc w:val="left"/>
            </w:pPr>
            <w:r>
              <w:rPr/>
              <w:sym w:font="Wingdings 2" w:char="0052"/>
            </w:r>
            <w:r>
              <w:t>新建（迁建）</w:t>
            </w:r>
          </w:p>
          <w:p w14:paraId="7F0CDA32">
            <w:pPr>
              <w:spacing w:before="48" w:beforeLines="20" w:after="48" w:afterLines="20" w:line="240" w:lineRule="auto"/>
              <w:ind w:firstLine="0" w:firstLineChars="0"/>
              <w:jc w:val="left"/>
            </w:pPr>
            <w:r>
              <w:rPr/>
              <w:sym w:font="Wingdings 2" w:char="00A3"/>
            </w:r>
            <w:r>
              <w:t>改建</w:t>
            </w:r>
          </w:p>
          <w:p w14:paraId="2AA7689C">
            <w:pPr>
              <w:spacing w:before="48" w:beforeLines="20" w:after="48" w:afterLines="20" w:line="240" w:lineRule="auto"/>
              <w:ind w:firstLine="0" w:firstLineChars="0"/>
              <w:jc w:val="left"/>
            </w:pPr>
            <w:r>
              <w:rPr/>
              <w:sym w:font="Wingdings 2" w:char="00A3"/>
            </w:r>
            <w:r>
              <w:t>扩建</w:t>
            </w:r>
          </w:p>
          <w:p w14:paraId="6F9DF24B">
            <w:pPr>
              <w:spacing w:before="48" w:beforeLines="20" w:after="48" w:afterLines="20" w:line="240" w:lineRule="auto"/>
              <w:ind w:firstLine="0" w:firstLineChars="0"/>
              <w:jc w:val="left"/>
            </w:pPr>
            <w:r>
              <w:rPr/>
              <w:sym w:font="Wingdings 2" w:char="00A3"/>
            </w:r>
            <w:r>
              <w:t>技术改造</w:t>
            </w:r>
          </w:p>
        </w:tc>
        <w:tc>
          <w:tcPr>
            <w:tcW w:w="2103" w:type="dxa"/>
            <w:vAlign w:val="center"/>
          </w:tcPr>
          <w:p w14:paraId="539DBB37">
            <w:pPr>
              <w:adjustRightInd w:val="0"/>
              <w:spacing w:before="48" w:beforeLines="20" w:after="48" w:afterLines="20" w:line="240" w:lineRule="auto"/>
              <w:ind w:firstLine="0" w:firstLineChars="0"/>
              <w:jc w:val="center"/>
            </w:pPr>
            <w:r>
              <w:t>建设项目</w:t>
            </w:r>
          </w:p>
          <w:p w14:paraId="400713A8">
            <w:pPr>
              <w:adjustRightInd w:val="0"/>
              <w:spacing w:before="48" w:beforeLines="20" w:after="48" w:afterLines="20" w:line="240" w:lineRule="auto"/>
              <w:ind w:firstLine="0" w:firstLineChars="0"/>
              <w:jc w:val="center"/>
            </w:pPr>
            <w:r>
              <w:t>申报情形</w:t>
            </w:r>
          </w:p>
        </w:tc>
        <w:tc>
          <w:tcPr>
            <w:tcW w:w="2639" w:type="dxa"/>
            <w:vAlign w:val="center"/>
          </w:tcPr>
          <w:p w14:paraId="331D21D0">
            <w:pPr>
              <w:spacing w:before="48" w:beforeLines="20" w:after="48" w:afterLines="20" w:line="240" w:lineRule="auto"/>
              <w:ind w:firstLine="0" w:firstLineChars="0"/>
              <w:jc w:val="left"/>
            </w:pPr>
            <w:r>
              <w:rPr/>
              <w:sym w:font="Wingdings 2" w:char="0052"/>
            </w:r>
            <w:r>
              <w:t>首次申报项目</w:t>
            </w:r>
          </w:p>
          <w:p w14:paraId="293B59A4">
            <w:pPr>
              <w:spacing w:before="48" w:beforeLines="20" w:after="48" w:afterLines="20" w:line="240" w:lineRule="auto"/>
              <w:ind w:firstLine="0" w:firstLineChars="0"/>
              <w:jc w:val="left"/>
            </w:pPr>
            <w:r>
              <w:rPr/>
              <w:sym w:font="Wingdings 2" w:char="00A3"/>
            </w:r>
            <w:r>
              <w:t>不予批准后再次申报项目</w:t>
            </w:r>
          </w:p>
          <w:p w14:paraId="00A0F8FB">
            <w:pPr>
              <w:spacing w:before="48" w:beforeLines="20" w:after="48" w:afterLines="20" w:line="240" w:lineRule="auto"/>
              <w:ind w:firstLine="0" w:firstLineChars="0"/>
              <w:jc w:val="left"/>
            </w:pPr>
            <w:r>
              <w:rPr/>
              <w:sym w:font="Wingdings 2" w:char="00A3"/>
            </w:r>
            <w:r>
              <w:t>超五年重新审核项目</w:t>
            </w:r>
          </w:p>
          <w:p w14:paraId="0BECF0C8">
            <w:pPr>
              <w:spacing w:before="48" w:beforeLines="20" w:after="48" w:afterLines="20" w:line="240" w:lineRule="auto"/>
              <w:ind w:firstLine="0" w:firstLineChars="0"/>
              <w:jc w:val="left"/>
            </w:pPr>
            <w:r>
              <w:rPr/>
              <w:sym w:font="Wingdings 2" w:char="00A3"/>
            </w:r>
            <w:r>
              <w:t>重大变动重新报批项目</w:t>
            </w:r>
          </w:p>
        </w:tc>
      </w:tr>
      <w:tr w14:paraId="51324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92" w:type="dxa"/>
            <w:gridSpan w:val="2"/>
            <w:tcMar>
              <w:top w:w="16" w:type="dxa"/>
              <w:left w:w="16" w:type="dxa"/>
              <w:right w:w="16" w:type="dxa"/>
            </w:tcMar>
            <w:vAlign w:val="center"/>
          </w:tcPr>
          <w:p w14:paraId="5835A280">
            <w:pPr>
              <w:adjustRightInd w:val="0"/>
              <w:spacing w:before="48" w:beforeLines="20" w:after="48" w:afterLines="20" w:line="240" w:lineRule="auto"/>
              <w:ind w:firstLine="0" w:firstLineChars="0"/>
              <w:jc w:val="center"/>
            </w:pPr>
            <w:r>
              <w:t>项目审批（核准/</w:t>
            </w:r>
          </w:p>
          <w:p w14:paraId="73D903B2">
            <w:pPr>
              <w:adjustRightInd w:val="0"/>
              <w:spacing w:before="48" w:beforeLines="20" w:after="48" w:afterLines="20" w:line="240" w:lineRule="auto"/>
              <w:ind w:firstLine="0" w:firstLineChars="0"/>
              <w:jc w:val="center"/>
            </w:pPr>
            <w:r>
              <w:t>备案）部门（选填）</w:t>
            </w:r>
          </w:p>
        </w:tc>
        <w:tc>
          <w:tcPr>
            <w:tcW w:w="2140" w:type="dxa"/>
            <w:vAlign w:val="center"/>
          </w:tcPr>
          <w:p w14:paraId="5A2BFDEF">
            <w:pPr>
              <w:adjustRightInd w:val="0"/>
              <w:spacing w:before="48" w:beforeLines="20" w:after="48" w:afterLines="20" w:line="240" w:lineRule="auto"/>
              <w:ind w:firstLine="0" w:firstLineChars="0"/>
              <w:jc w:val="center"/>
            </w:pPr>
            <w:r>
              <w:t>无</w:t>
            </w:r>
          </w:p>
        </w:tc>
        <w:tc>
          <w:tcPr>
            <w:tcW w:w="2103" w:type="dxa"/>
            <w:vAlign w:val="center"/>
          </w:tcPr>
          <w:p w14:paraId="006D110C">
            <w:pPr>
              <w:adjustRightInd w:val="0"/>
              <w:spacing w:before="48" w:beforeLines="20" w:after="48" w:afterLines="20" w:line="240" w:lineRule="auto"/>
              <w:ind w:firstLine="0" w:firstLineChars="0"/>
              <w:jc w:val="center"/>
            </w:pPr>
            <w:r>
              <w:t>项目审批（核准/</w:t>
            </w:r>
          </w:p>
          <w:p w14:paraId="4AE44FD8">
            <w:pPr>
              <w:adjustRightInd w:val="0"/>
              <w:spacing w:before="48" w:beforeLines="20" w:after="48" w:afterLines="20" w:line="240" w:lineRule="auto"/>
              <w:ind w:firstLine="0" w:firstLineChars="0"/>
              <w:jc w:val="center"/>
            </w:pPr>
            <w:r>
              <w:t>备案）文号（选填）</w:t>
            </w:r>
          </w:p>
        </w:tc>
        <w:tc>
          <w:tcPr>
            <w:tcW w:w="2639" w:type="dxa"/>
            <w:vAlign w:val="center"/>
          </w:tcPr>
          <w:p w14:paraId="338AB940">
            <w:pPr>
              <w:adjustRightInd w:val="0"/>
              <w:spacing w:before="48" w:beforeLines="20" w:after="48" w:afterLines="20" w:line="240" w:lineRule="auto"/>
              <w:ind w:firstLine="0" w:firstLineChars="0"/>
              <w:jc w:val="center"/>
            </w:pPr>
            <w:r>
              <w:t>无</w:t>
            </w:r>
          </w:p>
        </w:tc>
      </w:tr>
      <w:tr w14:paraId="20DB0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gridSpan w:val="2"/>
            <w:tcMar>
              <w:top w:w="16" w:type="dxa"/>
              <w:left w:w="16" w:type="dxa"/>
              <w:right w:w="16" w:type="dxa"/>
            </w:tcMar>
            <w:vAlign w:val="center"/>
          </w:tcPr>
          <w:p w14:paraId="10831C6B">
            <w:pPr>
              <w:adjustRightInd w:val="0"/>
              <w:spacing w:before="48" w:beforeLines="20" w:after="48" w:afterLines="20" w:line="240" w:lineRule="auto"/>
              <w:ind w:firstLine="0" w:firstLineChars="0"/>
              <w:jc w:val="center"/>
            </w:pPr>
            <w:r>
              <w:t>总投资（万元）</w:t>
            </w:r>
          </w:p>
        </w:tc>
        <w:tc>
          <w:tcPr>
            <w:tcW w:w="2140" w:type="dxa"/>
            <w:vAlign w:val="center"/>
          </w:tcPr>
          <w:p w14:paraId="6258F2E4">
            <w:pPr>
              <w:adjustRightInd w:val="0"/>
              <w:spacing w:before="48" w:beforeLines="20" w:after="48" w:afterLines="20" w:line="240" w:lineRule="auto"/>
              <w:ind w:firstLine="0" w:firstLineChars="0"/>
              <w:jc w:val="center"/>
              <w:rPr>
                <w:rFonts w:hint="default" w:eastAsia="宋体"/>
                <w:lang w:val="en-US" w:eastAsia="zh-CN"/>
              </w:rPr>
            </w:pPr>
            <w:r>
              <w:rPr>
                <w:rFonts w:hint="eastAsia"/>
                <w:lang w:val="en-US" w:eastAsia="zh-CN"/>
              </w:rPr>
              <w:t>200</w:t>
            </w:r>
          </w:p>
        </w:tc>
        <w:tc>
          <w:tcPr>
            <w:tcW w:w="2103" w:type="dxa"/>
            <w:tcMar>
              <w:top w:w="16" w:type="dxa"/>
              <w:left w:w="16" w:type="dxa"/>
              <w:right w:w="16" w:type="dxa"/>
            </w:tcMar>
            <w:vAlign w:val="center"/>
          </w:tcPr>
          <w:p w14:paraId="12F1DC1D">
            <w:pPr>
              <w:adjustRightInd w:val="0"/>
              <w:spacing w:before="48" w:beforeLines="20" w:after="48" w:afterLines="20" w:line="240" w:lineRule="auto"/>
              <w:ind w:firstLine="0" w:firstLineChars="0"/>
              <w:jc w:val="center"/>
            </w:pPr>
            <w:r>
              <w:t>环保投资（万元）</w:t>
            </w:r>
          </w:p>
        </w:tc>
        <w:tc>
          <w:tcPr>
            <w:tcW w:w="2639" w:type="dxa"/>
            <w:vAlign w:val="center"/>
          </w:tcPr>
          <w:p w14:paraId="35A5ECFA">
            <w:pPr>
              <w:adjustRightInd w:val="0"/>
              <w:spacing w:before="48" w:beforeLines="20" w:after="48" w:afterLines="20" w:line="240" w:lineRule="auto"/>
              <w:ind w:firstLine="0" w:firstLineChars="0"/>
              <w:jc w:val="center"/>
              <w:rPr>
                <w:rFonts w:hint="default" w:eastAsia="宋体"/>
                <w:lang w:val="en-US" w:eastAsia="zh-CN"/>
              </w:rPr>
            </w:pPr>
            <w:r>
              <w:rPr>
                <w:rFonts w:hint="eastAsia"/>
                <w:lang w:val="en-US" w:eastAsia="zh-CN"/>
              </w:rPr>
              <w:t>7.5</w:t>
            </w:r>
          </w:p>
        </w:tc>
      </w:tr>
      <w:tr w14:paraId="5189E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gridSpan w:val="2"/>
            <w:tcMar>
              <w:top w:w="16" w:type="dxa"/>
              <w:left w:w="16" w:type="dxa"/>
              <w:right w:w="16" w:type="dxa"/>
            </w:tcMar>
            <w:vAlign w:val="center"/>
          </w:tcPr>
          <w:p w14:paraId="4D516C49">
            <w:pPr>
              <w:adjustRightInd w:val="0"/>
              <w:spacing w:before="48" w:beforeLines="20" w:after="48" w:afterLines="20" w:line="240" w:lineRule="auto"/>
              <w:ind w:firstLine="0" w:firstLineChars="0"/>
              <w:jc w:val="center"/>
            </w:pPr>
            <w:r>
              <w:t>环保投资占比（%）</w:t>
            </w:r>
          </w:p>
        </w:tc>
        <w:tc>
          <w:tcPr>
            <w:tcW w:w="2140" w:type="dxa"/>
            <w:vAlign w:val="center"/>
          </w:tcPr>
          <w:p w14:paraId="19B6266E">
            <w:pPr>
              <w:adjustRightInd w:val="0"/>
              <w:spacing w:before="48" w:beforeLines="20" w:after="48" w:afterLines="20" w:line="240" w:lineRule="auto"/>
              <w:ind w:firstLine="0" w:firstLineChars="0"/>
              <w:jc w:val="center"/>
              <w:rPr>
                <w:rFonts w:hint="default" w:eastAsia="宋体"/>
                <w:lang w:val="en-US" w:eastAsia="zh-CN"/>
              </w:rPr>
            </w:pPr>
            <w:r>
              <w:rPr>
                <w:rFonts w:hint="eastAsia"/>
                <w:lang w:val="en-US" w:eastAsia="zh-CN"/>
              </w:rPr>
              <w:t>15</w:t>
            </w:r>
          </w:p>
        </w:tc>
        <w:tc>
          <w:tcPr>
            <w:tcW w:w="2103" w:type="dxa"/>
            <w:tcMar>
              <w:top w:w="16" w:type="dxa"/>
              <w:left w:w="16" w:type="dxa"/>
              <w:right w:w="16" w:type="dxa"/>
            </w:tcMar>
            <w:vAlign w:val="center"/>
          </w:tcPr>
          <w:p w14:paraId="5657BABE">
            <w:pPr>
              <w:adjustRightInd w:val="0"/>
              <w:spacing w:before="48" w:beforeLines="20" w:after="48" w:afterLines="20" w:line="240" w:lineRule="auto"/>
              <w:ind w:firstLine="0" w:firstLineChars="0"/>
              <w:jc w:val="center"/>
            </w:pPr>
            <w:r>
              <w:t>施工工期</w:t>
            </w:r>
          </w:p>
        </w:tc>
        <w:tc>
          <w:tcPr>
            <w:tcW w:w="2639" w:type="dxa"/>
            <w:vAlign w:val="center"/>
          </w:tcPr>
          <w:p w14:paraId="6547913B">
            <w:pPr>
              <w:adjustRightInd w:val="0"/>
              <w:spacing w:before="48" w:beforeLines="20" w:after="48" w:afterLines="20" w:line="240" w:lineRule="auto"/>
              <w:ind w:firstLine="0" w:firstLineChars="0"/>
              <w:jc w:val="center"/>
            </w:pPr>
            <w:r>
              <w:t>/</w:t>
            </w:r>
          </w:p>
        </w:tc>
      </w:tr>
      <w:tr w14:paraId="4969F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gridSpan w:val="2"/>
            <w:tcMar>
              <w:top w:w="16" w:type="dxa"/>
              <w:left w:w="16" w:type="dxa"/>
              <w:right w:w="16" w:type="dxa"/>
            </w:tcMar>
            <w:vAlign w:val="center"/>
          </w:tcPr>
          <w:p w14:paraId="4F62F15B">
            <w:pPr>
              <w:adjustRightInd w:val="0"/>
              <w:spacing w:before="48" w:beforeLines="20" w:after="48" w:afterLines="20" w:line="240" w:lineRule="auto"/>
              <w:ind w:firstLine="0" w:firstLineChars="0"/>
              <w:jc w:val="center"/>
            </w:pPr>
            <w:r>
              <w:t>是否开工建设</w:t>
            </w:r>
          </w:p>
        </w:tc>
        <w:tc>
          <w:tcPr>
            <w:tcW w:w="2140" w:type="dxa"/>
            <w:vAlign w:val="center"/>
          </w:tcPr>
          <w:p w14:paraId="155D06A9">
            <w:pPr>
              <w:adjustRightInd w:val="0"/>
              <w:spacing w:before="48" w:beforeLines="20" w:after="48" w:afterLines="20" w:line="240" w:lineRule="auto"/>
              <w:ind w:firstLine="0" w:firstLineChars="0"/>
            </w:pPr>
            <w:r>
              <w:rPr/>
              <w:sym w:font="Wingdings 2" w:char="0052"/>
            </w:r>
            <w:r>
              <w:t>否</w:t>
            </w:r>
          </w:p>
          <w:p w14:paraId="2A61FC0D">
            <w:pPr>
              <w:spacing w:before="48" w:beforeLines="20" w:after="48" w:afterLines="20" w:line="240" w:lineRule="auto"/>
              <w:ind w:firstLine="0" w:firstLineChars="0"/>
              <w:rPr>
                <w:u w:val="single"/>
              </w:rPr>
            </w:pPr>
            <w:r>
              <w:rPr/>
              <w:sym w:font="Wingdings 2" w:char="00A3"/>
            </w:r>
            <w:r>
              <w:t>是</w:t>
            </w:r>
          </w:p>
        </w:tc>
        <w:tc>
          <w:tcPr>
            <w:tcW w:w="2103" w:type="dxa"/>
            <w:vAlign w:val="center"/>
          </w:tcPr>
          <w:p w14:paraId="32122E2D">
            <w:pPr>
              <w:spacing w:before="48" w:beforeLines="20" w:after="48" w:afterLines="20" w:line="240" w:lineRule="auto"/>
              <w:ind w:firstLine="0" w:firstLineChars="0"/>
              <w:jc w:val="center"/>
            </w:pPr>
            <w:r>
              <w:rPr>
                <w:spacing w:val="-6"/>
              </w:rPr>
              <w:t>用地面积（m</w:t>
            </w:r>
            <w:r>
              <w:rPr>
                <w:spacing w:val="-6"/>
                <w:vertAlign w:val="superscript"/>
              </w:rPr>
              <w:t>2</w:t>
            </w:r>
            <w:r>
              <w:rPr>
                <w:spacing w:val="-6"/>
              </w:rPr>
              <w:t>）</w:t>
            </w:r>
          </w:p>
        </w:tc>
        <w:tc>
          <w:tcPr>
            <w:tcW w:w="2639" w:type="dxa"/>
            <w:tcMar>
              <w:top w:w="16" w:type="dxa"/>
              <w:left w:w="16" w:type="dxa"/>
              <w:right w:w="16" w:type="dxa"/>
            </w:tcMar>
            <w:vAlign w:val="center"/>
          </w:tcPr>
          <w:p w14:paraId="16F50B95">
            <w:pPr>
              <w:adjustRightInd w:val="0"/>
              <w:spacing w:before="48" w:beforeLines="20" w:after="48" w:afterLines="20" w:line="240" w:lineRule="auto"/>
              <w:ind w:firstLine="0" w:firstLineChars="0"/>
              <w:jc w:val="center"/>
            </w:pPr>
            <w:r>
              <w:rPr>
                <w:rFonts w:hint="eastAsia"/>
              </w:rPr>
              <w:t>2590.59</w:t>
            </w:r>
          </w:p>
        </w:tc>
      </w:tr>
      <w:tr w14:paraId="20EB7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992" w:type="dxa"/>
            <w:gridSpan w:val="2"/>
            <w:vAlign w:val="center"/>
          </w:tcPr>
          <w:p w14:paraId="4AD506D5">
            <w:pPr>
              <w:autoSpaceDE w:val="0"/>
              <w:autoSpaceDN w:val="0"/>
              <w:spacing w:before="48" w:beforeLines="20" w:after="48" w:afterLines="20" w:line="240" w:lineRule="auto"/>
              <w:ind w:firstLine="0" w:firstLineChars="0"/>
              <w:jc w:val="center"/>
              <w:rPr>
                <w:kern w:val="0"/>
              </w:rPr>
            </w:pPr>
            <w:r>
              <w:rPr>
                <w:kern w:val="0"/>
              </w:rPr>
              <w:t>专项评价设置情况</w:t>
            </w:r>
          </w:p>
        </w:tc>
        <w:tc>
          <w:tcPr>
            <w:tcW w:w="6882" w:type="dxa"/>
            <w:gridSpan w:val="3"/>
            <w:vAlign w:val="center"/>
          </w:tcPr>
          <w:p w14:paraId="474BC026">
            <w:pPr>
              <w:autoSpaceDE w:val="0"/>
              <w:autoSpaceDN w:val="0"/>
              <w:spacing w:before="48" w:beforeLines="20" w:after="48" w:afterLines="20" w:line="240" w:lineRule="auto"/>
              <w:ind w:firstLine="0" w:firstLineChars="0"/>
              <w:jc w:val="center"/>
              <w:rPr>
                <w:kern w:val="0"/>
              </w:rPr>
            </w:pPr>
            <w:r>
              <w:rPr>
                <w:kern w:val="0"/>
              </w:rPr>
              <w:t>无</w:t>
            </w:r>
          </w:p>
        </w:tc>
      </w:tr>
      <w:tr w14:paraId="404E4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92" w:type="dxa"/>
            <w:gridSpan w:val="2"/>
            <w:vAlign w:val="center"/>
          </w:tcPr>
          <w:p w14:paraId="52317470">
            <w:pPr>
              <w:autoSpaceDE w:val="0"/>
              <w:autoSpaceDN w:val="0"/>
              <w:spacing w:before="48" w:beforeLines="20" w:after="48" w:afterLines="20" w:line="240" w:lineRule="auto"/>
              <w:ind w:firstLine="0" w:firstLineChars="0"/>
              <w:jc w:val="center"/>
              <w:rPr>
                <w:kern w:val="0"/>
              </w:rPr>
            </w:pPr>
            <w:r>
              <w:t>规划情况</w:t>
            </w:r>
          </w:p>
        </w:tc>
        <w:tc>
          <w:tcPr>
            <w:tcW w:w="6882" w:type="dxa"/>
            <w:gridSpan w:val="3"/>
            <w:vAlign w:val="center"/>
          </w:tcPr>
          <w:p w14:paraId="42163F59">
            <w:pPr>
              <w:kinsoku w:val="0"/>
              <w:snapToGrid w:val="0"/>
              <w:ind w:firstLine="0" w:firstLineChars="0"/>
              <w:jc w:val="center"/>
            </w:pPr>
            <w:r>
              <w:t>无</w:t>
            </w:r>
          </w:p>
        </w:tc>
      </w:tr>
      <w:tr w14:paraId="36F30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92" w:type="dxa"/>
            <w:gridSpan w:val="2"/>
            <w:vAlign w:val="center"/>
          </w:tcPr>
          <w:p w14:paraId="687954D7">
            <w:pPr>
              <w:spacing w:before="48" w:beforeLines="20" w:after="48" w:afterLines="20" w:line="240" w:lineRule="auto"/>
              <w:ind w:firstLine="0" w:firstLineChars="0"/>
              <w:jc w:val="center"/>
            </w:pPr>
            <w:r>
              <w:t>规划环境影响</w:t>
            </w:r>
          </w:p>
          <w:p w14:paraId="41037CC5">
            <w:pPr>
              <w:spacing w:before="48" w:beforeLines="20" w:after="48" w:afterLines="20" w:line="240" w:lineRule="auto"/>
              <w:ind w:firstLine="0" w:firstLineChars="0"/>
              <w:jc w:val="center"/>
              <w:rPr>
                <w:kern w:val="0"/>
              </w:rPr>
            </w:pPr>
            <w:r>
              <w:t>评价情况</w:t>
            </w:r>
          </w:p>
        </w:tc>
        <w:tc>
          <w:tcPr>
            <w:tcW w:w="6882" w:type="dxa"/>
            <w:gridSpan w:val="3"/>
            <w:vAlign w:val="center"/>
          </w:tcPr>
          <w:p w14:paraId="4F0B57B3">
            <w:pPr>
              <w:kinsoku w:val="0"/>
              <w:snapToGrid w:val="0"/>
              <w:ind w:firstLine="0" w:firstLineChars="0"/>
              <w:jc w:val="center"/>
            </w:pPr>
            <w:r>
              <w:t>无</w:t>
            </w:r>
          </w:p>
        </w:tc>
      </w:tr>
      <w:tr w14:paraId="07D90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92" w:type="dxa"/>
            <w:gridSpan w:val="2"/>
            <w:vAlign w:val="center"/>
          </w:tcPr>
          <w:p w14:paraId="507DA743">
            <w:pPr>
              <w:autoSpaceDE w:val="0"/>
              <w:autoSpaceDN w:val="0"/>
              <w:adjustRightInd w:val="0"/>
              <w:snapToGrid w:val="0"/>
              <w:spacing w:before="48" w:beforeLines="20" w:after="48" w:afterLines="20" w:line="240" w:lineRule="auto"/>
              <w:ind w:firstLine="0" w:firstLineChars="0"/>
              <w:jc w:val="center"/>
              <w:rPr>
                <w:kern w:val="0"/>
              </w:rPr>
            </w:pPr>
            <w:r>
              <w:rPr>
                <w:kern w:val="0"/>
              </w:rPr>
              <w:t>规划及规划环境影响评价符合性分析</w:t>
            </w:r>
          </w:p>
        </w:tc>
        <w:tc>
          <w:tcPr>
            <w:tcW w:w="6882" w:type="dxa"/>
            <w:gridSpan w:val="3"/>
            <w:vAlign w:val="center"/>
          </w:tcPr>
          <w:p w14:paraId="2AFD2F1A">
            <w:pPr>
              <w:autoSpaceDE w:val="0"/>
              <w:autoSpaceDN w:val="0"/>
              <w:adjustRightInd w:val="0"/>
              <w:snapToGrid w:val="0"/>
              <w:ind w:firstLine="0" w:firstLineChars="0"/>
              <w:jc w:val="center"/>
              <w:rPr>
                <w:kern w:val="0"/>
              </w:rPr>
            </w:pPr>
            <w:r>
              <w:t>无</w:t>
            </w:r>
          </w:p>
        </w:tc>
      </w:tr>
      <w:tr w14:paraId="24CE3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14:paraId="4161A070">
            <w:pPr>
              <w:autoSpaceDE w:val="0"/>
              <w:autoSpaceDN w:val="0"/>
              <w:adjustRightInd w:val="0"/>
              <w:snapToGrid w:val="0"/>
              <w:spacing w:before="48" w:beforeLines="20" w:after="48" w:afterLines="20" w:line="360" w:lineRule="auto"/>
              <w:ind w:firstLine="0" w:firstLineChars="0"/>
              <w:jc w:val="center"/>
              <w:rPr>
                <w:rFonts w:ascii="Times New Roman" w:hAnsi="Times New Roman" w:eastAsia="宋体" w:cs="Times New Roman"/>
                <w:kern w:val="0"/>
              </w:rPr>
            </w:pPr>
            <w:r>
              <w:rPr>
                <w:rFonts w:ascii="Times New Roman" w:hAnsi="Times New Roman" w:eastAsia="宋体" w:cs="Times New Roman"/>
                <w:kern w:val="0"/>
              </w:rPr>
              <w:t>其他符合性分析</w:t>
            </w:r>
          </w:p>
          <w:p w14:paraId="215EB9E0">
            <w:pPr>
              <w:adjustRightInd w:val="0"/>
              <w:snapToGrid w:val="0"/>
              <w:spacing w:line="240" w:lineRule="auto"/>
              <w:ind w:firstLine="480"/>
              <w:jc w:val="center"/>
              <w:rPr>
                <w:b/>
                <w:bCs/>
              </w:rPr>
            </w:pPr>
          </w:p>
          <w:p w14:paraId="5EFF1975">
            <w:pPr>
              <w:adjustRightInd w:val="0"/>
              <w:snapToGrid w:val="0"/>
              <w:spacing w:line="240" w:lineRule="auto"/>
              <w:ind w:firstLine="480"/>
            </w:pPr>
          </w:p>
          <w:p w14:paraId="1C65E50B">
            <w:pPr>
              <w:adjustRightInd w:val="0"/>
              <w:snapToGrid w:val="0"/>
              <w:spacing w:line="240" w:lineRule="auto"/>
              <w:ind w:firstLine="480"/>
            </w:pPr>
          </w:p>
          <w:p w14:paraId="43DD7B1E">
            <w:pPr>
              <w:adjustRightInd w:val="0"/>
              <w:snapToGrid w:val="0"/>
              <w:spacing w:line="240" w:lineRule="auto"/>
              <w:ind w:firstLine="480"/>
            </w:pPr>
          </w:p>
          <w:p w14:paraId="2F7C7630">
            <w:pPr>
              <w:adjustRightInd w:val="0"/>
              <w:snapToGrid w:val="0"/>
              <w:spacing w:line="240" w:lineRule="auto"/>
              <w:ind w:firstLine="480"/>
            </w:pPr>
          </w:p>
          <w:p w14:paraId="09194907">
            <w:pPr>
              <w:adjustRightInd w:val="0"/>
              <w:snapToGrid w:val="0"/>
              <w:spacing w:line="240" w:lineRule="auto"/>
              <w:ind w:firstLine="480"/>
            </w:pPr>
          </w:p>
        </w:tc>
        <w:tc>
          <w:tcPr>
            <w:tcW w:w="8236" w:type="dxa"/>
            <w:gridSpan w:val="4"/>
            <w:vAlign w:val="center"/>
          </w:tcPr>
          <w:p w14:paraId="5E212576">
            <w:pPr>
              <w:adjustRightInd w:val="0"/>
              <w:snapToGrid w:val="0"/>
              <w:spacing w:line="300" w:lineRule="auto"/>
              <w:ind w:firstLine="482"/>
              <w:rPr>
                <w:b/>
                <w:bCs/>
                <w:szCs w:val="32"/>
              </w:rPr>
            </w:pPr>
            <w:r>
              <w:rPr>
                <w:b/>
                <w:bCs/>
                <w:szCs w:val="32"/>
              </w:rPr>
              <w:t>1、</w:t>
            </w:r>
            <w:bookmarkStart w:id="4" w:name="OLE_LINK1"/>
            <w:r>
              <w:rPr>
                <w:b/>
                <w:bCs/>
                <w:szCs w:val="32"/>
              </w:rPr>
              <w:t>与《汕头市“三线一单”生态环境分区管控方案》符合性分析：</w:t>
            </w:r>
          </w:p>
          <w:bookmarkEnd w:id="4"/>
          <w:p w14:paraId="15373002">
            <w:pPr>
              <w:adjustRightInd w:val="0"/>
              <w:snapToGrid w:val="0"/>
              <w:spacing w:line="300" w:lineRule="auto"/>
              <w:ind w:firstLine="482"/>
              <w:rPr>
                <w:b/>
                <w:bCs/>
              </w:rPr>
            </w:pPr>
            <w:r>
              <w:rPr>
                <w:b/>
                <w:bCs/>
              </w:rPr>
              <w:t>（1）生态保护红线</w:t>
            </w:r>
          </w:p>
          <w:p w14:paraId="5C9C40A1">
            <w:pPr>
              <w:adjustRightInd w:val="0"/>
              <w:snapToGrid w:val="0"/>
              <w:spacing w:line="300" w:lineRule="auto"/>
              <w:ind w:firstLine="480"/>
              <w:rPr>
                <w:kern w:val="0"/>
                <w:szCs w:val="22"/>
              </w:rPr>
            </w:pPr>
            <w:r>
              <w:rPr>
                <w:kern w:val="0"/>
                <w:szCs w:val="22"/>
              </w:rPr>
              <w:t>根据广东省“三线一单”数据管理及应用平台查询，本项目位于</w:t>
            </w:r>
            <w:r>
              <w:rPr>
                <w:rFonts w:hint="eastAsia"/>
                <w:kern w:val="0"/>
                <w:szCs w:val="22"/>
              </w:rPr>
              <w:t>ZH44051330001</w:t>
            </w:r>
            <w:r>
              <w:rPr>
                <w:kern w:val="0"/>
                <w:szCs w:val="22"/>
              </w:rPr>
              <w:t>潮阳区生态空间一般管控区，见附图</w:t>
            </w:r>
            <w:r>
              <w:rPr>
                <w:rFonts w:hint="eastAsia"/>
                <w:kern w:val="0"/>
                <w:szCs w:val="22"/>
                <w:lang w:val="en-US" w:eastAsia="zh-CN"/>
              </w:rPr>
              <w:t>11</w:t>
            </w:r>
            <w:r>
              <w:rPr>
                <w:kern w:val="0"/>
                <w:szCs w:val="22"/>
              </w:rPr>
              <w:t>，不涉及生态保护线，满足生态保护红线要求。</w:t>
            </w:r>
          </w:p>
          <w:p w14:paraId="588563EA">
            <w:pPr>
              <w:adjustRightInd w:val="0"/>
              <w:snapToGrid w:val="0"/>
              <w:spacing w:line="300" w:lineRule="auto"/>
              <w:ind w:firstLine="482"/>
              <w:rPr>
                <w:b/>
                <w:bCs/>
                <w:szCs w:val="32"/>
              </w:rPr>
            </w:pPr>
            <w:bookmarkStart w:id="5" w:name="OLE_LINK2"/>
            <w:r>
              <w:rPr>
                <w:b/>
                <w:bCs/>
                <w:szCs w:val="32"/>
              </w:rPr>
              <w:t>（2）环境质量底线</w:t>
            </w:r>
          </w:p>
          <w:bookmarkEnd w:id="5"/>
          <w:p w14:paraId="551CD4B7">
            <w:pPr>
              <w:adjustRightInd w:val="0"/>
              <w:snapToGrid w:val="0"/>
              <w:spacing w:line="300" w:lineRule="auto"/>
              <w:ind w:firstLine="480"/>
              <w:rPr>
                <w:kern w:val="0"/>
                <w:szCs w:val="22"/>
              </w:rPr>
            </w:pPr>
            <w:bookmarkStart w:id="6" w:name="OLE_LINK3"/>
            <w:r>
              <w:rPr>
                <w:kern w:val="0"/>
                <w:szCs w:val="22"/>
              </w:rPr>
              <w:t>项目所在区域的环境质量底线为：环境空气质量目标为</w:t>
            </w:r>
            <w:bookmarkStart w:id="7" w:name="OLE_LINK11"/>
            <w:r>
              <w:rPr>
                <w:kern w:val="0"/>
                <w:szCs w:val="22"/>
              </w:rPr>
              <w:t>《环境空气质量标准》（GB3095-2012）及其修改单二级标准</w:t>
            </w:r>
            <w:bookmarkEnd w:id="7"/>
            <w:r>
              <w:rPr>
                <w:kern w:val="0"/>
                <w:szCs w:val="22"/>
              </w:rPr>
              <w:t>；项目所在区域的练江水环境质量目标为《地表水环境质量标准》（GB3838-2002）中Ⅳ类水质标准；根据《关于印发汕头市声环境功能区划调整方案（2019年）的通知》（汕府办</w:t>
            </w:r>
            <w:r>
              <w:rPr>
                <w:rFonts w:eastAsia="仿宋_GB2312"/>
                <w:kern w:val="0"/>
                <w:szCs w:val="22"/>
              </w:rPr>
              <w:t>〔</w:t>
            </w:r>
            <w:r>
              <w:rPr>
                <w:kern w:val="0"/>
                <w:szCs w:val="22"/>
              </w:rPr>
              <w:t>2019）7号，项目所在区域属于2类声功能区。厂界声环境质量目标</w:t>
            </w:r>
            <w:r>
              <w:rPr>
                <w:rFonts w:hint="eastAsia"/>
                <w:kern w:val="0"/>
                <w:szCs w:val="22"/>
                <w:lang w:val="en-US" w:eastAsia="zh-CN"/>
              </w:rPr>
              <w:t>执行</w:t>
            </w:r>
            <w:r>
              <w:rPr>
                <w:kern w:val="0"/>
                <w:szCs w:val="22"/>
              </w:rPr>
              <w:t>《声环境质量标准》（GB3096-2008）2类标准。(见</w:t>
            </w:r>
            <w:r>
              <w:rPr>
                <w:rFonts w:hint="eastAsia"/>
                <w:kern w:val="0"/>
                <w:szCs w:val="22"/>
                <w:lang w:val="en-US" w:eastAsia="zh-CN"/>
              </w:rPr>
              <w:t>附图9</w:t>
            </w:r>
            <w:r>
              <w:rPr>
                <w:kern w:val="0"/>
                <w:szCs w:val="22"/>
              </w:rPr>
              <w:t>)。</w:t>
            </w:r>
          </w:p>
          <w:bookmarkEnd w:id="6"/>
          <w:p w14:paraId="11D19F5D">
            <w:pPr>
              <w:adjustRightInd w:val="0"/>
              <w:snapToGrid w:val="0"/>
              <w:spacing w:line="300" w:lineRule="auto"/>
              <w:ind w:firstLine="480"/>
              <w:rPr>
                <w:kern w:val="0"/>
                <w:szCs w:val="22"/>
              </w:rPr>
            </w:pPr>
            <w:r>
              <w:rPr>
                <w:kern w:val="0"/>
                <w:szCs w:val="22"/>
              </w:rPr>
              <w:t>本项目位干</w:t>
            </w:r>
            <w:r>
              <w:rPr>
                <w:rFonts w:hint="eastAsia"/>
                <w:kern w:val="0"/>
                <w:szCs w:val="22"/>
                <w:lang w:val="en-US" w:eastAsia="zh-CN"/>
              </w:rPr>
              <w:t>潮阳区</w:t>
            </w:r>
            <w:r>
              <w:rPr>
                <w:kern w:val="0"/>
                <w:szCs w:val="22"/>
              </w:rPr>
              <w:t>污水处理厂的集污范围，目前项目所在地污水管网已完善，本项目</w:t>
            </w:r>
            <w:r>
              <w:rPr>
                <w:rFonts w:hint="eastAsia"/>
                <w:kern w:val="0"/>
                <w:szCs w:val="22"/>
                <w:lang w:val="en-US" w:eastAsia="zh-CN"/>
              </w:rPr>
              <w:t>生活污水</w:t>
            </w:r>
            <w:r>
              <w:rPr>
                <w:kern w:val="0"/>
                <w:szCs w:val="22"/>
              </w:rPr>
              <w:t>经</w:t>
            </w:r>
            <w:r>
              <w:rPr>
                <w:rFonts w:hint="eastAsia"/>
                <w:kern w:val="0"/>
                <w:szCs w:val="22"/>
                <w:lang w:val="en-US" w:eastAsia="zh-CN"/>
              </w:rPr>
              <w:t>三级化粪池处理达标</w:t>
            </w:r>
            <w:r>
              <w:rPr>
                <w:kern w:val="0"/>
                <w:szCs w:val="22"/>
              </w:rPr>
              <w:t>后经市政管网排入</w:t>
            </w:r>
            <w:r>
              <w:rPr>
                <w:rFonts w:hint="eastAsia"/>
                <w:kern w:val="0"/>
                <w:szCs w:val="22"/>
                <w:lang w:val="en-US" w:eastAsia="zh-CN"/>
              </w:rPr>
              <w:t>潮阳区</w:t>
            </w:r>
            <w:r>
              <w:rPr>
                <w:kern w:val="0"/>
                <w:szCs w:val="22"/>
              </w:rPr>
              <w:t>污水处理厂进行深化处理后排放练江。本项目废气经处理后满足排放要求，固体废物和噪声经过落实相应的环保措施后并达到相关污染物排放标准限值要求，对周边环境影响不大。</w:t>
            </w:r>
          </w:p>
          <w:p w14:paraId="7BFA3760">
            <w:pPr>
              <w:adjustRightInd w:val="0"/>
              <w:snapToGrid w:val="0"/>
              <w:spacing w:line="300" w:lineRule="auto"/>
              <w:ind w:firstLine="480"/>
              <w:rPr>
                <w:kern w:val="0"/>
                <w:szCs w:val="22"/>
              </w:rPr>
            </w:pPr>
            <w:r>
              <w:rPr>
                <w:kern w:val="0"/>
                <w:szCs w:val="22"/>
              </w:rPr>
              <w:t>综上，项目建成后对区域环境影响较小，环境质量可以保持现有水平，不会对区域环境质量底线造成冲击，符合环境质量底线要求。</w:t>
            </w:r>
          </w:p>
          <w:p w14:paraId="74346B64">
            <w:pPr>
              <w:adjustRightInd w:val="0"/>
              <w:snapToGrid w:val="0"/>
              <w:spacing w:line="300" w:lineRule="auto"/>
              <w:ind w:firstLine="482"/>
              <w:rPr>
                <w:b/>
                <w:bCs/>
                <w:szCs w:val="32"/>
              </w:rPr>
            </w:pPr>
            <w:r>
              <w:rPr>
                <w:b/>
                <w:bCs/>
                <w:szCs w:val="32"/>
              </w:rPr>
              <w:t>（3）资源利用上线</w:t>
            </w:r>
          </w:p>
          <w:p w14:paraId="00FC42AE">
            <w:pPr>
              <w:adjustRightInd w:val="0"/>
              <w:snapToGrid w:val="0"/>
              <w:spacing w:line="300" w:lineRule="auto"/>
              <w:ind w:firstLine="480"/>
              <w:rPr>
                <w:kern w:val="0"/>
                <w:szCs w:val="22"/>
              </w:rPr>
            </w:pPr>
            <w:bookmarkStart w:id="8" w:name="OLE_LINK4"/>
            <w:r>
              <w:rPr>
                <w:kern w:val="0"/>
                <w:szCs w:val="22"/>
              </w:rPr>
              <w:t>本项目运营过程中消耗一定量的电能、水资源等资源，项目占用的资源相对区域利用总量较少，符合国家下达的总量和强度控制目标要求和资源利用上限要求。</w:t>
            </w:r>
          </w:p>
          <w:bookmarkEnd w:id="8"/>
          <w:p w14:paraId="52C78A2A">
            <w:pPr>
              <w:adjustRightInd w:val="0"/>
              <w:snapToGrid w:val="0"/>
              <w:spacing w:line="300" w:lineRule="auto"/>
              <w:ind w:firstLine="482"/>
              <w:rPr>
                <w:b/>
                <w:bCs/>
                <w:szCs w:val="32"/>
              </w:rPr>
            </w:pPr>
            <w:r>
              <w:rPr>
                <w:b/>
                <w:bCs/>
                <w:szCs w:val="32"/>
              </w:rPr>
              <w:t>（4）环境准入负面清单</w:t>
            </w:r>
          </w:p>
          <w:p w14:paraId="72F7E92F">
            <w:pPr>
              <w:adjustRightInd w:val="0"/>
              <w:snapToGrid w:val="0"/>
              <w:spacing w:line="300" w:lineRule="auto"/>
              <w:ind w:firstLine="482"/>
              <w:rPr>
                <w:b/>
                <w:bCs/>
                <w:szCs w:val="32"/>
              </w:rPr>
            </w:pPr>
            <w:r>
              <w:rPr>
                <w:b/>
                <w:bCs/>
                <w:szCs w:val="32"/>
              </w:rPr>
              <w:t>①生态环境准入清单</w:t>
            </w:r>
          </w:p>
          <w:p w14:paraId="46C2E109">
            <w:pPr>
              <w:adjustRightInd w:val="0"/>
              <w:snapToGrid w:val="0"/>
              <w:spacing w:line="300" w:lineRule="auto"/>
              <w:ind w:firstLine="482"/>
              <w:rPr>
                <w:b/>
                <w:bCs/>
                <w:szCs w:val="32"/>
              </w:rPr>
            </w:pPr>
            <w:r>
              <w:rPr>
                <w:b/>
                <w:bCs/>
                <w:szCs w:val="32"/>
              </w:rPr>
              <w:t>A全市生态环境准入清单</w:t>
            </w:r>
          </w:p>
          <w:p w14:paraId="02CC2096">
            <w:pPr>
              <w:adjustRightInd w:val="0"/>
              <w:snapToGrid w:val="0"/>
              <w:spacing w:line="300" w:lineRule="auto"/>
              <w:ind w:firstLine="480"/>
              <w:rPr>
                <w:kern w:val="0"/>
                <w:szCs w:val="22"/>
              </w:rPr>
            </w:pPr>
            <w:r>
              <w:rPr>
                <w:kern w:val="0"/>
                <w:szCs w:val="22"/>
              </w:rPr>
              <w:t>加强高耗能、高排放（以下简称“两高”）建设项目生态环境源头防控，坚决遏制“两高”项目盲目发展，新建、扩建石化、化工等项目应布设在依法合规设立并经规划环评的产业园区。根据国家和省相关要求，落实清洁能源替代、煤炭等量或减量替代等要求，完善有关行业环评审批规定，明确碳排放要求，充分发挥减污降碳协同作用。</w:t>
            </w:r>
          </w:p>
          <w:p w14:paraId="5705087A">
            <w:pPr>
              <w:adjustRightInd w:val="0"/>
              <w:snapToGrid w:val="0"/>
              <w:spacing w:line="300" w:lineRule="auto"/>
              <w:ind w:firstLine="480"/>
              <w:rPr>
                <w:kern w:val="0"/>
                <w:szCs w:val="22"/>
              </w:rPr>
            </w:pPr>
            <w:r>
              <w:rPr>
                <w:kern w:val="0"/>
                <w:szCs w:val="22"/>
              </w:rPr>
              <w:t>环境质量不达标区域，新建项目须符合环境质量改善要求。除现阶段确无法实施替代的工序外，禁止新建生产和使用高挥发性有机物（VOCs）原辅材料的项目。练江流域严格控制新建、扩建制浆、造纸、印染、电镀、鞣革、线路板、化工、冶炼、发酵酿造、规模化养殖和危险废物综合利用或处置等水污染型重污染项目（入园区的项目除外）。</w:t>
            </w:r>
          </w:p>
          <w:p w14:paraId="67003AA9">
            <w:pPr>
              <w:adjustRightInd w:val="0"/>
              <w:snapToGrid w:val="0"/>
              <w:spacing w:line="300" w:lineRule="auto"/>
              <w:ind w:firstLine="480"/>
              <w:rPr>
                <w:kern w:val="0"/>
                <w:szCs w:val="22"/>
              </w:rPr>
            </w:pPr>
            <w:r>
              <w:rPr>
                <w:kern w:val="0"/>
                <w:szCs w:val="22"/>
              </w:rPr>
              <w:t>加快推进天然气产供储销体系建设，逐步淘汰集中供热管网覆盖区域内的分散供热锅炉，促进用热企业向园区集聚。全市高污染燃料禁燃区均按III类（严格）燃料组合管理，天然气管网覆盖范围内禁止新建每小时35蒸吨以下燃煤锅炉。</w:t>
            </w:r>
          </w:p>
          <w:p w14:paraId="2B9A9DBA">
            <w:pPr>
              <w:adjustRightInd w:val="0"/>
              <w:snapToGrid w:val="0"/>
              <w:spacing w:line="300" w:lineRule="auto"/>
              <w:ind w:firstLine="482"/>
              <w:rPr>
                <w:szCs w:val="32"/>
              </w:rPr>
            </w:pPr>
            <w:r>
              <w:rPr>
                <w:b/>
                <w:bCs/>
                <w:szCs w:val="32"/>
              </w:rPr>
              <w:t>符合性分析：</w:t>
            </w:r>
            <w:r>
              <w:rPr>
                <w:szCs w:val="32"/>
              </w:rPr>
              <w:t>本项目不属于“两高”项目。项目所在区域为环境质量达标区域，项目生产</w:t>
            </w:r>
            <w:r>
              <w:rPr>
                <w:rFonts w:hint="eastAsia"/>
                <w:szCs w:val="32"/>
                <w:lang w:val="en-US" w:eastAsia="zh-CN"/>
              </w:rPr>
              <w:t>过程不涉及</w:t>
            </w:r>
            <w:r>
              <w:rPr>
                <w:szCs w:val="32"/>
              </w:rPr>
              <w:t>使用高挥发性有机物（VOCs）原辅料的项目和水污染型重污染企业项目，也不涉及供热锅炉和</w:t>
            </w:r>
            <w:r>
              <w:rPr>
                <w:kern w:val="0"/>
                <w:szCs w:val="22"/>
              </w:rPr>
              <w:t>每小时35 蒸吨以下燃煤锅炉建设使用。经对照分析，项目</w:t>
            </w:r>
            <w:r>
              <w:rPr>
                <w:szCs w:val="32"/>
              </w:rPr>
              <w:t>不属于全市生态环境准入清单中禁止和控制的项目类型，符合产业政策和全是生态环境准入清单的相关要求。</w:t>
            </w:r>
          </w:p>
          <w:p w14:paraId="40228465">
            <w:pPr>
              <w:adjustRightInd w:val="0"/>
              <w:snapToGrid w:val="0"/>
              <w:spacing w:line="300" w:lineRule="auto"/>
              <w:ind w:firstLine="482"/>
              <w:rPr>
                <w:b/>
                <w:bCs/>
                <w:szCs w:val="32"/>
              </w:rPr>
            </w:pPr>
            <w:r>
              <w:rPr>
                <w:b/>
                <w:bCs/>
                <w:szCs w:val="32"/>
              </w:rPr>
              <w:t>B能源资源利用要求。</w:t>
            </w:r>
          </w:p>
          <w:p w14:paraId="4A54EB61">
            <w:pPr>
              <w:adjustRightInd w:val="0"/>
              <w:snapToGrid w:val="0"/>
              <w:spacing w:line="300" w:lineRule="auto"/>
              <w:ind w:firstLine="480"/>
              <w:rPr>
                <w:kern w:val="0"/>
                <w:szCs w:val="22"/>
              </w:rPr>
            </w:pPr>
            <w:r>
              <w:rPr>
                <w:kern w:val="0"/>
                <w:szCs w:val="22"/>
              </w:rPr>
              <w:t>贯彻落实“节水优先”方针，实行水资源总量强度双控，建立总量控制的水资源高效利用体系，提高再生水、雨水、海水等非常规水源使用率。</w:t>
            </w:r>
          </w:p>
          <w:p w14:paraId="1F268B50">
            <w:pPr>
              <w:adjustRightInd w:val="0"/>
              <w:snapToGrid w:val="0"/>
              <w:spacing w:line="300" w:lineRule="auto"/>
              <w:ind w:firstLine="482"/>
              <w:rPr>
                <w:kern w:val="0"/>
                <w:szCs w:val="22"/>
              </w:rPr>
            </w:pPr>
            <w:r>
              <w:rPr>
                <w:b/>
                <w:kern w:val="0"/>
                <w:szCs w:val="22"/>
              </w:rPr>
              <w:t>符合性分析：</w:t>
            </w:r>
            <w:bookmarkStart w:id="9" w:name="OLE_LINK5"/>
            <w:r>
              <w:rPr>
                <w:kern w:val="0"/>
                <w:szCs w:val="22"/>
              </w:rPr>
              <w:t>项目用水主要为生活用水</w:t>
            </w:r>
            <w:r>
              <w:rPr>
                <w:rFonts w:hint="eastAsia"/>
                <w:kern w:val="0"/>
                <w:szCs w:val="22"/>
                <w:lang w:val="en-US" w:eastAsia="zh-CN"/>
              </w:rPr>
              <w:t>和纯水制备用水</w:t>
            </w:r>
            <w:r>
              <w:rPr>
                <w:kern w:val="0"/>
                <w:szCs w:val="22"/>
              </w:rPr>
              <w:t>，建设单位将建立节约用水相关制度，从制度上约束不良用水行为习惯。</w:t>
            </w:r>
          </w:p>
          <w:bookmarkEnd w:id="9"/>
          <w:p w14:paraId="0DAC879C">
            <w:pPr>
              <w:adjustRightInd w:val="0"/>
              <w:snapToGrid w:val="0"/>
              <w:spacing w:line="300" w:lineRule="auto"/>
              <w:ind w:firstLine="482"/>
              <w:rPr>
                <w:b/>
                <w:bCs/>
                <w:szCs w:val="32"/>
              </w:rPr>
            </w:pPr>
            <w:bookmarkStart w:id="10" w:name="_Toc74731581"/>
            <w:bookmarkStart w:id="11" w:name="_Toc73866005"/>
            <w:r>
              <w:rPr>
                <w:b/>
                <w:bCs/>
                <w:szCs w:val="32"/>
              </w:rPr>
              <w:t>C污染物排放管控要求。</w:t>
            </w:r>
            <w:bookmarkEnd w:id="10"/>
            <w:bookmarkEnd w:id="11"/>
          </w:p>
          <w:p w14:paraId="326A12A5">
            <w:pPr>
              <w:adjustRightInd w:val="0"/>
              <w:snapToGrid w:val="0"/>
              <w:spacing w:line="300" w:lineRule="auto"/>
              <w:ind w:firstLine="480"/>
              <w:rPr>
                <w:kern w:val="0"/>
                <w:szCs w:val="22"/>
              </w:rPr>
            </w:pPr>
            <w:bookmarkStart w:id="12" w:name="OLE_LINK6"/>
            <w:r>
              <w:rPr>
                <w:kern w:val="0"/>
                <w:szCs w:val="22"/>
              </w:rPr>
              <w:t>严格执行练江流域水污染物排放标准。进一步推进生活污水处理设施及配套管网建设，加快完善污水管网“毛细血管”，加强老镇区、城郊结合部等人口集中地区和基础设施薄弱区域的污水管网建设，形成全市截污纳污“一张网”，提升生活污水收集和处理效能，推进城镇生活污水全收集、全处理。</w:t>
            </w:r>
          </w:p>
          <w:p w14:paraId="20CEF4AE">
            <w:pPr>
              <w:adjustRightInd w:val="0"/>
              <w:snapToGrid w:val="0"/>
              <w:spacing w:line="300" w:lineRule="auto"/>
              <w:ind w:firstLine="480"/>
              <w:rPr>
                <w:kern w:val="0"/>
                <w:szCs w:val="22"/>
              </w:rPr>
            </w:pPr>
            <w:r>
              <w:rPr>
                <w:kern w:val="0"/>
                <w:szCs w:val="22"/>
              </w:rPr>
              <w:t>在可核查、可监管的基础上，新建项目原则上实施氮氧化物和挥发性有机物（VOCs）等量替代或减量替代。大力推进挥发性有机物（VOCs）含量低的涂料、油墨、胶粘剂、清洗剂等原辅材料源头替代。强化移动源环保达标监管，持续推进机动车遥感监测系统建设，严格实施非道路移动机械编码登记制度。</w:t>
            </w:r>
          </w:p>
          <w:p w14:paraId="5B411AFD">
            <w:pPr>
              <w:adjustRightInd w:val="0"/>
              <w:snapToGrid w:val="0"/>
              <w:spacing w:line="300" w:lineRule="auto"/>
              <w:ind w:firstLine="480"/>
              <w:rPr>
                <w:kern w:val="0"/>
                <w:szCs w:val="22"/>
              </w:rPr>
            </w:pPr>
            <w:r>
              <w:rPr>
                <w:kern w:val="0"/>
                <w:szCs w:val="22"/>
              </w:rPr>
              <w:t>禁止向土壤排放重金属或者其他有毒有害物质含量超标的污水、污泥等。重金属重点防控区域禁止新建、改建、扩建增加重金属污染物排放总量的建设项目。大力推进固体废物源头减量化、资源化利用和无害化处理，进一步提升固体废物处理处置能力，危险废物得到有效处置。</w:t>
            </w:r>
          </w:p>
          <w:p w14:paraId="6195AC21">
            <w:pPr>
              <w:adjustRightInd w:val="0"/>
              <w:snapToGrid w:val="0"/>
              <w:spacing w:line="300" w:lineRule="auto"/>
              <w:ind w:firstLine="482"/>
              <w:rPr>
                <w:kern w:val="0"/>
                <w:szCs w:val="22"/>
              </w:rPr>
            </w:pPr>
            <w:r>
              <w:rPr>
                <w:b/>
                <w:kern w:val="0"/>
                <w:szCs w:val="22"/>
              </w:rPr>
              <w:t>符合性分析：</w:t>
            </w:r>
            <w:r>
              <w:rPr>
                <w:kern w:val="0"/>
                <w:szCs w:val="22"/>
              </w:rPr>
              <w:t>本项目所在区域属于</w:t>
            </w:r>
            <w:r>
              <w:rPr>
                <w:rFonts w:hint="eastAsia"/>
                <w:kern w:val="0"/>
                <w:szCs w:val="22"/>
                <w:lang w:val="en-US" w:eastAsia="zh-CN"/>
              </w:rPr>
              <w:t>潮阳区</w:t>
            </w:r>
            <w:r>
              <w:rPr>
                <w:kern w:val="0"/>
                <w:szCs w:val="22"/>
              </w:rPr>
              <w:t>处理厂纳污范围，项目废水主要为生活废水，不含重金属污染物，废水经处理达标后接入市政污水管网进入</w:t>
            </w:r>
            <w:r>
              <w:rPr>
                <w:rFonts w:hint="eastAsia"/>
                <w:kern w:val="0"/>
                <w:szCs w:val="22"/>
                <w:lang w:val="en-US" w:eastAsia="zh-CN"/>
              </w:rPr>
              <w:t>潮阳区</w:t>
            </w:r>
            <w:r>
              <w:rPr>
                <w:kern w:val="0"/>
                <w:szCs w:val="22"/>
              </w:rPr>
              <w:t>污水处理厂深度处理。项目不使用柴油发电机等涉NOx排放的设备</w:t>
            </w:r>
            <w:r>
              <w:rPr>
                <w:rFonts w:hint="eastAsia"/>
                <w:kern w:val="0"/>
                <w:szCs w:val="22"/>
                <w:lang w:eastAsia="zh-CN"/>
              </w:rPr>
              <w:t>，</w:t>
            </w:r>
            <w:r>
              <w:rPr>
                <w:kern w:val="0"/>
                <w:szCs w:val="22"/>
              </w:rPr>
              <w:t>运营期</w:t>
            </w:r>
            <w:r>
              <w:rPr>
                <w:rFonts w:hint="eastAsia"/>
                <w:kern w:val="0"/>
                <w:szCs w:val="22"/>
                <w:lang w:val="en-US" w:eastAsia="zh-CN"/>
              </w:rPr>
              <w:t>不涉及使用高挥发性有机物原辅料</w:t>
            </w:r>
            <w:r>
              <w:rPr>
                <w:kern w:val="0"/>
                <w:szCs w:val="22"/>
              </w:rPr>
              <w:t>。综上，项目污染物排放符合污染物排放管控要求。本项目产生污染类型为废水、废气、固废及噪声，不涉及重金属或其他有毒有害物质含量超标的污水污泥排放。</w:t>
            </w:r>
          </w:p>
          <w:bookmarkEnd w:id="12"/>
          <w:p w14:paraId="11AE2D91">
            <w:pPr>
              <w:adjustRightInd w:val="0"/>
              <w:snapToGrid w:val="0"/>
              <w:spacing w:line="300" w:lineRule="auto"/>
              <w:ind w:firstLine="482"/>
              <w:rPr>
                <w:b/>
                <w:bCs/>
                <w:szCs w:val="32"/>
              </w:rPr>
            </w:pPr>
            <w:bookmarkStart w:id="13" w:name="_Toc73866006"/>
            <w:bookmarkStart w:id="14" w:name="_Toc74731582"/>
            <w:bookmarkStart w:id="15" w:name="OLE_LINK7"/>
            <w:r>
              <w:rPr>
                <w:b/>
                <w:bCs/>
                <w:szCs w:val="32"/>
              </w:rPr>
              <w:t>D环境风险防控要求。</w:t>
            </w:r>
            <w:bookmarkEnd w:id="13"/>
            <w:bookmarkEnd w:id="14"/>
          </w:p>
          <w:p w14:paraId="089B7F7A">
            <w:pPr>
              <w:adjustRightInd w:val="0"/>
              <w:snapToGrid w:val="0"/>
              <w:spacing w:line="300" w:lineRule="auto"/>
              <w:ind w:firstLine="480"/>
              <w:rPr>
                <w:kern w:val="0"/>
                <w:szCs w:val="22"/>
              </w:rPr>
            </w:pPr>
            <w:r>
              <w:rPr>
                <w:kern w:val="0"/>
                <w:szCs w:val="22"/>
              </w:rPr>
              <w:t>重点加强环境风险分级分类管理，强化化工企业、涉重金属行业、工业园区和尾矿库等重点环境风险源的环境风险防控。规范危险化学品企业安全生产，强化企业全生命周期管理，严格常态化监管执法，严格废弃危险化学品安全处置，确保分类存放和依法依规处理处置。全力避免因各类安全事故（事件）引发的次生环境风险事故（事件）。</w:t>
            </w:r>
          </w:p>
          <w:p w14:paraId="77C4B922">
            <w:pPr>
              <w:adjustRightInd w:val="0"/>
              <w:snapToGrid w:val="0"/>
              <w:spacing w:line="300" w:lineRule="auto"/>
              <w:ind w:firstLine="482"/>
              <w:rPr>
                <w:kern w:val="0"/>
                <w:szCs w:val="22"/>
              </w:rPr>
            </w:pPr>
            <w:r>
              <w:rPr>
                <w:b/>
                <w:kern w:val="0"/>
                <w:szCs w:val="22"/>
              </w:rPr>
              <w:t>符合性分析：</w:t>
            </w:r>
            <w:r>
              <w:rPr>
                <w:kern w:val="0"/>
                <w:szCs w:val="22"/>
              </w:rPr>
              <w:t>本项目为</w:t>
            </w:r>
            <w:r>
              <w:rPr>
                <w:rFonts w:hint="eastAsia"/>
                <w:kern w:val="0"/>
                <w:szCs w:val="22"/>
                <w:lang w:val="en-US" w:eastAsia="zh-CN"/>
              </w:rPr>
              <w:t>化工助剂生产</w:t>
            </w:r>
            <w:r>
              <w:rPr>
                <w:kern w:val="0"/>
                <w:szCs w:val="22"/>
              </w:rPr>
              <w:t>项目，建议在</w:t>
            </w:r>
            <w:r>
              <w:rPr>
                <w:rFonts w:hint="eastAsia"/>
                <w:kern w:val="0"/>
                <w:szCs w:val="22"/>
                <w:lang w:val="en-US" w:eastAsia="zh-CN"/>
              </w:rPr>
              <w:t>化学</w:t>
            </w:r>
            <w:r>
              <w:rPr>
                <w:kern w:val="0"/>
                <w:szCs w:val="22"/>
              </w:rPr>
              <w:t>品存储、转移、使用等环节和</w:t>
            </w:r>
            <w:r>
              <w:rPr>
                <w:rFonts w:hint="eastAsia"/>
                <w:kern w:val="0"/>
                <w:szCs w:val="22"/>
                <w:lang w:val="en-US" w:eastAsia="zh-CN"/>
              </w:rPr>
              <w:t>危险</w:t>
            </w:r>
            <w:r>
              <w:rPr>
                <w:kern w:val="0"/>
                <w:szCs w:val="22"/>
              </w:rPr>
              <w:t>废物收集、贮存、转移等环节加强管理，避免发生环境风险事故。</w:t>
            </w:r>
          </w:p>
          <w:bookmarkEnd w:id="15"/>
          <w:p w14:paraId="0B8D7295">
            <w:pPr>
              <w:adjustRightInd w:val="0"/>
              <w:snapToGrid w:val="0"/>
              <w:spacing w:line="300" w:lineRule="auto"/>
              <w:ind w:firstLine="482"/>
              <w:rPr>
                <w:b/>
                <w:bCs/>
                <w:szCs w:val="32"/>
              </w:rPr>
            </w:pPr>
            <w:bookmarkStart w:id="16" w:name="OLE_LINK8"/>
            <w:r>
              <w:rPr>
                <w:b/>
                <w:bCs/>
                <w:szCs w:val="32"/>
              </w:rPr>
              <w:t>②环境管控单元准入清单</w:t>
            </w:r>
          </w:p>
          <w:p w14:paraId="042686BC">
            <w:pPr>
              <w:adjustRightInd w:val="0"/>
              <w:snapToGrid w:val="0"/>
              <w:spacing w:line="300" w:lineRule="auto"/>
              <w:ind w:firstLine="480"/>
              <w:rPr>
                <w:kern w:val="0"/>
                <w:szCs w:val="22"/>
              </w:rPr>
            </w:pPr>
            <w:r>
              <w:rPr>
                <w:kern w:val="0"/>
                <w:szCs w:val="22"/>
              </w:rPr>
              <w:t>环境管控单元在执行省“三线一单”生态环境分区管控方案和市级准入清单要求的基础上，结合经济社会发展、环境现状及目标等特性，实施个性化准入清单。本项目位于</w:t>
            </w:r>
            <w:r>
              <w:rPr>
                <w:rFonts w:hint="eastAsia"/>
                <w:kern w:val="0"/>
                <w:szCs w:val="22"/>
              </w:rPr>
              <w:t>ZH44051330001城南-文光-棉北-金浦街道部分地区和海门-和平-铜盂-谷饶-金灶-关埠-西胪-河溪镇部分地区</w:t>
            </w:r>
            <w:r>
              <w:rPr>
                <w:kern w:val="0"/>
                <w:szCs w:val="22"/>
              </w:rPr>
              <w:t>一般管控单元，见附图</w:t>
            </w:r>
            <w:r>
              <w:rPr>
                <w:rFonts w:hint="eastAsia"/>
                <w:kern w:val="0"/>
                <w:szCs w:val="22"/>
                <w:lang w:val="en-US" w:eastAsia="zh-CN"/>
              </w:rPr>
              <w:t>11</w:t>
            </w:r>
            <w:r>
              <w:rPr>
                <w:kern w:val="0"/>
                <w:szCs w:val="22"/>
              </w:rPr>
              <w:t>、附图</w:t>
            </w:r>
            <w:r>
              <w:rPr>
                <w:rFonts w:hint="eastAsia"/>
                <w:kern w:val="0"/>
                <w:szCs w:val="22"/>
                <w:lang w:val="en-US" w:eastAsia="zh-CN"/>
              </w:rPr>
              <w:t>12</w:t>
            </w:r>
            <w:r>
              <w:rPr>
                <w:kern w:val="0"/>
                <w:szCs w:val="22"/>
              </w:rPr>
              <w:t>。环境管控单元准入清单见下表。</w:t>
            </w:r>
          </w:p>
          <w:bookmarkEnd w:id="16"/>
          <w:p w14:paraId="437DF376">
            <w:pPr>
              <w:spacing w:line="240" w:lineRule="auto"/>
              <w:ind w:firstLine="0" w:firstLineChars="0"/>
              <w:jc w:val="center"/>
              <w:rPr>
                <w:b/>
                <w:bCs/>
                <w:szCs w:val="21"/>
              </w:rPr>
            </w:pPr>
            <w:r>
              <w:rPr>
                <w:b/>
                <w:bCs/>
                <w:szCs w:val="21"/>
              </w:rPr>
              <w:t>表1-1环境管控单元准入清单</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127"/>
              <w:gridCol w:w="1210"/>
              <w:gridCol w:w="1155"/>
              <w:gridCol w:w="2425"/>
            </w:tblGrid>
            <w:tr w14:paraId="5A3D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9" w:type="pct"/>
                  <w:tcBorders>
                    <w:top w:val="single" w:color="auto" w:sz="4" w:space="0"/>
                    <w:left w:val="single" w:color="auto" w:sz="4" w:space="0"/>
                    <w:bottom w:val="single" w:color="auto" w:sz="4" w:space="0"/>
                    <w:right w:val="single" w:color="auto" w:sz="4" w:space="0"/>
                  </w:tcBorders>
                  <w:vAlign w:val="center"/>
                </w:tcPr>
                <w:p w14:paraId="5F66214E">
                  <w:pPr>
                    <w:widowControl/>
                    <w:spacing w:line="240" w:lineRule="auto"/>
                    <w:ind w:firstLine="0" w:firstLineChars="0"/>
                    <w:jc w:val="center"/>
                    <w:rPr>
                      <w:b/>
                      <w:kern w:val="0"/>
                      <w:sz w:val="21"/>
                      <w:szCs w:val="21"/>
                    </w:rPr>
                  </w:pPr>
                  <w:r>
                    <w:rPr>
                      <w:b/>
                      <w:kern w:val="0"/>
                      <w:sz w:val="21"/>
                      <w:szCs w:val="21"/>
                    </w:rPr>
                    <w:t>环境管控单元编码</w:t>
                  </w:r>
                </w:p>
              </w:tc>
              <w:tc>
                <w:tcPr>
                  <w:tcW w:w="1328" w:type="pct"/>
                  <w:tcBorders>
                    <w:top w:val="single" w:color="auto" w:sz="4" w:space="0"/>
                    <w:left w:val="single" w:color="auto" w:sz="4" w:space="0"/>
                    <w:bottom w:val="single" w:color="auto" w:sz="4" w:space="0"/>
                    <w:right w:val="single" w:color="auto" w:sz="4" w:space="0"/>
                  </w:tcBorders>
                  <w:vAlign w:val="center"/>
                </w:tcPr>
                <w:p w14:paraId="27CF548C">
                  <w:pPr>
                    <w:widowControl/>
                    <w:spacing w:line="240" w:lineRule="auto"/>
                    <w:ind w:firstLine="0" w:firstLineChars="0"/>
                    <w:jc w:val="center"/>
                    <w:rPr>
                      <w:b/>
                      <w:kern w:val="0"/>
                      <w:sz w:val="21"/>
                      <w:szCs w:val="21"/>
                    </w:rPr>
                  </w:pPr>
                  <w:r>
                    <w:rPr>
                      <w:b/>
                      <w:kern w:val="0"/>
                      <w:sz w:val="21"/>
                      <w:szCs w:val="21"/>
                    </w:rPr>
                    <w:t>环境管控单元名称</w:t>
                  </w:r>
                </w:p>
              </w:tc>
              <w:tc>
                <w:tcPr>
                  <w:tcW w:w="756" w:type="pct"/>
                  <w:tcBorders>
                    <w:top w:val="single" w:color="auto" w:sz="4" w:space="0"/>
                    <w:left w:val="single" w:color="auto" w:sz="4" w:space="0"/>
                    <w:bottom w:val="single" w:color="auto" w:sz="4" w:space="0"/>
                    <w:right w:val="single" w:color="auto" w:sz="4" w:space="0"/>
                  </w:tcBorders>
                  <w:vAlign w:val="center"/>
                </w:tcPr>
                <w:p w14:paraId="75FBE0D1">
                  <w:pPr>
                    <w:widowControl/>
                    <w:spacing w:line="240" w:lineRule="auto"/>
                    <w:ind w:firstLine="0" w:firstLineChars="0"/>
                    <w:jc w:val="center"/>
                    <w:rPr>
                      <w:b/>
                      <w:kern w:val="0"/>
                      <w:sz w:val="21"/>
                      <w:szCs w:val="21"/>
                    </w:rPr>
                  </w:pPr>
                  <w:r>
                    <w:rPr>
                      <w:b/>
                      <w:kern w:val="0"/>
                      <w:sz w:val="21"/>
                      <w:szCs w:val="21"/>
                    </w:rPr>
                    <w:t>管控单元分类</w:t>
                  </w:r>
                </w:p>
              </w:tc>
              <w:tc>
                <w:tcPr>
                  <w:tcW w:w="2234" w:type="pct"/>
                  <w:gridSpan w:val="2"/>
                  <w:tcBorders>
                    <w:top w:val="single" w:color="auto" w:sz="4" w:space="0"/>
                    <w:left w:val="single" w:color="auto" w:sz="4" w:space="0"/>
                    <w:bottom w:val="single" w:color="auto" w:sz="4" w:space="0"/>
                    <w:right w:val="single" w:color="auto" w:sz="4" w:space="0"/>
                  </w:tcBorders>
                  <w:vAlign w:val="center"/>
                </w:tcPr>
                <w:p w14:paraId="47AA1338">
                  <w:pPr>
                    <w:spacing w:line="240" w:lineRule="auto"/>
                    <w:ind w:firstLine="0" w:firstLineChars="0"/>
                    <w:jc w:val="center"/>
                    <w:rPr>
                      <w:b/>
                      <w:kern w:val="0"/>
                      <w:sz w:val="21"/>
                      <w:szCs w:val="21"/>
                    </w:rPr>
                  </w:pPr>
                  <w:r>
                    <w:rPr>
                      <w:b/>
                      <w:kern w:val="0"/>
                      <w:sz w:val="21"/>
                      <w:szCs w:val="21"/>
                    </w:rPr>
                    <w:t>要素细类</w:t>
                  </w:r>
                </w:p>
              </w:tc>
            </w:tr>
            <w:tr w14:paraId="4279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single" w:color="auto" w:sz="4" w:space="0"/>
                    <w:left w:val="single" w:color="auto" w:sz="4" w:space="0"/>
                    <w:bottom w:val="single" w:color="auto" w:sz="4" w:space="0"/>
                    <w:right w:val="single" w:color="auto" w:sz="4" w:space="0"/>
                  </w:tcBorders>
                  <w:vAlign w:val="center"/>
                </w:tcPr>
                <w:p w14:paraId="70FE3C39">
                  <w:pPr>
                    <w:spacing w:line="240" w:lineRule="auto"/>
                    <w:ind w:firstLine="0" w:firstLineChars="0"/>
                    <w:rPr>
                      <w:color w:val="000000"/>
                      <w:kern w:val="0"/>
                      <w:sz w:val="21"/>
                      <w:szCs w:val="21"/>
                    </w:rPr>
                  </w:pPr>
                  <w:r>
                    <w:rPr>
                      <w:color w:val="000000"/>
                      <w:sz w:val="21"/>
                      <w:szCs w:val="21"/>
                    </w:rPr>
                    <w:t>ZH44051330001</w:t>
                  </w:r>
                </w:p>
              </w:tc>
              <w:tc>
                <w:tcPr>
                  <w:tcW w:w="1328" w:type="pct"/>
                  <w:tcBorders>
                    <w:top w:val="single" w:color="auto" w:sz="4" w:space="0"/>
                    <w:left w:val="single" w:color="auto" w:sz="4" w:space="0"/>
                    <w:bottom w:val="single" w:color="auto" w:sz="4" w:space="0"/>
                    <w:right w:val="single" w:color="auto" w:sz="4" w:space="0"/>
                  </w:tcBorders>
                  <w:vAlign w:val="center"/>
                </w:tcPr>
                <w:p w14:paraId="2D76FCA7">
                  <w:pPr>
                    <w:widowControl/>
                    <w:spacing w:line="240" w:lineRule="auto"/>
                    <w:ind w:firstLine="0" w:firstLineChars="0"/>
                    <w:rPr>
                      <w:color w:val="000000"/>
                      <w:kern w:val="0"/>
                      <w:sz w:val="21"/>
                      <w:szCs w:val="21"/>
                    </w:rPr>
                  </w:pPr>
                  <w:r>
                    <w:rPr>
                      <w:color w:val="000000"/>
                      <w:kern w:val="0"/>
                      <w:sz w:val="21"/>
                      <w:szCs w:val="21"/>
                    </w:rPr>
                    <w:t>城南-文光-棉北-金浦街道部分地区和海门-和平-铜盂-谷饶-金灶-关埠-西胪-河溪镇部分地区一般管控单元</w:t>
                  </w:r>
                </w:p>
              </w:tc>
              <w:tc>
                <w:tcPr>
                  <w:tcW w:w="756" w:type="pct"/>
                  <w:tcBorders>
                    <w:top w:val="single" w:color="auto" w:sz="4" w:space="0"/>
                    <w:left w:val="single" w:color="auto" w:sz="4" w:space="0"/>
                    <w:bottom w:val="single" w:color="auto" w:sz="4" w:space="0"/>
                    <w:right w:val="single" w:color="auto" w:sz="4" w:space="0"/>
                  </w:tcBorders>
                  <w:vAlign w:val="center"/>
                </w:tcPr>
                <w:p w14:paraId="56677CAB">
                  <w:pPr>
                    <w:widowControl/>
                    <w:spacing w:line="240" w:lineRule="auto"/>
                    <w:ind w:firstLine="0" w:firstLineChars="0"/>
                    <w:rPr>
                      <w:color w:val="000000"/>
                      <w:kern w:val="0"/>
                      <w:sz w:val="21"/>
                      <w:szCs w:val="21"/>
                    </w:rPr>
                  </w:pPr>
                  <w:r>
                    <w:rPr>
                      <w:sz w:val="21"/>
                      <w:szCs w:val="21"/>
                    </w:rPr>
                    <w:t>一般管控单元</w:t>
                  </w:r>
                </w:p>
              </w:tc>
              <w:tc>
                <w:tcPr>
                  <w:tcW w:w="2234" w:type="pct"/>
                  <w:gridSpan w:val="2"/>
                  <w:tcBorders>
                    <w:top w:val="single" w:color="auto" w:sz="4" w:space="0"/>
                    <w:left w:val="single" w:color="auto" w:sz="4" w:space="0"/>
                    <w:bottom w:val="single" w:color="auto" w:sz="4" w:space="0"/>
                    <w:right w:val="single" w:color="auto" w:sz="4" w:space="0"/>
                  </w:tcBorders>
                  <w:vAlign w:val="center"/>
                </w:tcPr>
                <w:p w14:paraId="1BD8B77F">
                  <w:pPr>
                    <w:widowControl/>
                    <w:spacing w:line="240" w:lineRule="auto"/>
                    <w:ind w:firstLine="0" w:firstLineChars="0"/>
                    <w:rPr>
                      <w:color w:val="000000"/>
                      <w:kern w:val="0"/>
                      <w:sz w:val="21"/>
                      <w:szCs w:val="21"/>
                    </w:rPr>
                  </w:pPr>
                  <w:r>
                    <w:rPr>
                      <w:color w:val="000000"/>
                      <w:kern w:val="0"/>
                      <w:sz w:val="21"/>
                      <w:szCs w:val="21"/>
                    </w:rPr>
                    <w:t>水环境一般管控区、水环境城镇生活污染重点管控区、大气环境优先保护区、大气环境一般管控区、大气环境受体敏感重点管控区、大气环境布局敏感重点管控区、大气环境弱扩散重点管控区、高污染燃料禁燃区、一般生态空间、生态保护红线</w:t>
                  </w:r>
                </w:p>
              </w:tc>
            </w:tr>
            <w:tr w14:paraId="7EF4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pct"/>
                  <w:tcBorders>
                    <w:top w:val="single" w:color="auto" w:sz="4" w:space="0"/>
                    <w:left w:val="single" w:color="auto" w:sz="4" w:space="0"/>
                    <w:bottom w:val="single" w:color="auto" w:sz="4" w:space="0"/>
                    <w:right w:val="single" w:color="auto" w:sz="4" w:space="0"/>
                  </w:tcBorders>
                  <w:vAlign w:val="center"/>
                </w:tcPr>
                <w:p w14:paraId="00E1FC13">
                  <w:pPr>
                    <w:widowControl/>
                    <w:spacing w:line="240" w:lineRule="auto"/>
                    <w:ind w:firstLine="0" w:firstLineChars="0"/>
                    <w:jc w:val="center"/>
                    <w:rPr>
                      <w:b/>
                      <w:kern w:val="0"/>
                      <w:sz w:val="21"/>
                      <w:szCs w:val="21"/>
                    </w:rPr>
                  </w:pPr>
                  <w:r>
                    <w:rPr>
                      <w:b/>
                      <w:kern w:val="0"/>
                      <w:sz w:val="21"/>
                      <w:szCs w:val="21"/>
                    </w:rPr>
                    <w:t>管控</w:t>
                  </w:r>
                </w:p>
                <w:p w14:paraId="198D6A20">
                  <w:pPr>
                    <w:widowControl/>
                    <w:spacing w:line="240" w:lineRule="auto"/>
                    <w:ind w:firstLine="0" w:firstLineChars="0"/>
                    <w:jc w:val="center"/>
                    <w:rPr>
                      <w:b/>
                      <w:kern w:val="0"/>
                      <w:sz w:val="21"/>
                      <w:szCs w:val="21"/>
                    </w:rPr>
                  </w:pPr>
                  <w:r>
                    <w:rPr>
                      <w:b/>
                      <w:kern w:val="0"/>
                      <w:sz w:val="21"/>
                      <w:szCs w:val="21"/>
                    </w:rPr>
                    <w:t>维度</w:t>
                  </w:r>
                </w:p>
              </w:tc>
              <w:tc>
                <w:tcPr>
                  <w:tcW w:w="2805" w:type="pct"/>
                  <w:gridSpan w:val="3"/>
                  <w:tcBorders>
                    <w:top w:val="single" w:color="auto" w:sz="4" w:space="0"/>
                    <w:left w:val="single" w:color="auto" w:sz="4" w:space="0"/>
                    <w:bottom w:val="single" w:color="auto" w:sz="4" w:space="0"/>
                    <w:right w:val="single" w:color="auto" w:sz="4" w:space="0"/>
                  </w:tcBorders>
                  <w:vAlign w:val="center"/>
                </w:tcPr>
                <w:p w14:paraId="224D1AE9">
                  <w:pPr>
                    <w:spacing w:line="240" w:lineRule="auto"/>
                    <w:ind w:firstLine="0" w:firstLineChars="0"/>
                    <w:jc w:val="center"/>
                    <w:rPr>
                      <w:b/>
                      <w:kern w:val="0"/>
                      <w:sz w:val="21"/>
                      <w:szCs w:val="21"/>
                    </w:rPr>
                  </w:pPr>
                  <w:r>
                    <w:rPr>
                      <w:b/>
                      <w:kern w:val="0"/>
                      <w:sz w:val="21"/>
                      <w:szCs w:val="21"/>
                    </w:rPr>
                    <w:t>管控要求</w:t>
                  </w:r>
                </w:p>
              </w:tc>
              <w:tc>
                <w:tcPr>
                  <w:tcW w:w="1515" w:type="pct"/>
                  <w:tcBorders>
                    <w:top w:val="single" w:color="auto" w:sz="4" w:space="0"/>
                    <w:left w:val="single" w:color="auto" w:sz="4" w:space="0"/>
                    <w:bottom w:val="single" w:color="auto" w:sz="4" w:space="0"/>
                    <w:right w:val="single" w:color="auto" w:sz="4" w:space="0"/>
                  </w:tcBorders>
                  <w:vAlign w:val="center"/>
                </w:tcPr>
                <w:p w14:paraId="305D97B9">
                  <w:pPr>
                    <w:tabs>
                      <w:tab w:val="left" w:pos="228"/>
                    </w:tabs>
                    <w:spacing w:line="240" w:lineRule="auto"/>
                    <w:ind w:firstLine="0" w:firstLineChars="0"/>
                    <w:jc w:val="center"/>
                    <w:rPr>
                      <w:b/>
                      <w:kern w:val="0"/>
                      <w:sz w:val="21"/>
                      <w:szCs w:val="21"/>
                    </w:rPr>
                  </w:pPr>
                  <w:r>
                    <w:rPr>
                      <w:b/>
                      <w:kern w:val="0"/>
                      <w:sz w:val="21"/>
                      <w:szCs w:val="21"/>
                    </w:rPr>
                    <w:t>符合性分析</w:t>
                  </w:r>
                </w:p>
              </w:tc>
            </w:tr>
            <w:tr w14:paraId="398D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pct"/>
                  <w:tcBorders>
                    <w:top w:val="single" w:color="auto" w:sz="4" w:space="0"/>
                    <w:left w:val="single" w:color="auto" w:sz="4" w:space="0"/>
                    <w:bottom w:val="single" w:color="auto" w:sz="4" w:space="0"/>
                    <w:right w:val="single" w:color="auto" w:sz="4" w:space="0"/>
                  </w:tcBorders>
                  <w:vAlign w:val="center"/>
                </w:tcPr>
                <w:p w14:paraId="4649BD11">
                  <w:pPr>
                    <w:spacing w:line="240" w:lineRule="auto"/>
                    <w:ind w:firstLine="0" w:firstLineChars="0"/>
                    <w:jc w:val="center"/>
                    <w:rPr>
                      <w:color w:val="000000"/>
                      <w:kern w:val="0"/>
                      <w:sz w:val="21"/>
                      <w:szCs w:val="21"/>
                      <w:lang w:bidi="ar"/>
                    </w:rPr>
                  </w:pPr>
                  <w:r>
                    <w:rPr>
                      <w:color w:val="000000"/>
                      <w:kern w:val="0"/>
                      <w:sz w:val="21"/>
                      <w:szCs w:val="21"/>
                      <w:lang w:bidi="ar"/>
                    </w:rPr>
                    <w:t>区域布局管控</w:t>
                  </w:r>
                </w:p>
              </w:tc>
              <w:tc>
                <w:tcPr>
                  <w:tcW w:w="2805" w:type="pct"/>
                  <w:gridSpan w:val="3"/>
                  <w:tcBorders>
                    <w:top w:val="single" w:color="auto" w:sz="4" w:space="0"/>
                    <w:left w:val="single" w:color="auto" w:sz="4" w:space="0"/>
                    <w:bottom w:val="single" w:color="auto" w:sz="4" w:space="0"/>
                    <w:right w:val="single" w:color="auto" w:sz="4" w:space="0"/>
                  </w:tcBorders>
                  <w:vAlign w:val="center"/>
                </w:tcPr>
                <w:p w14:paraId="208EF521">
                  <w:pPr>
                    <w:tabs>
                      <w:tab w:val="left" w:pos="1021"/>
                    </w:tabs>
                    <w:spacing w:line="240" w:lineRule="auto"/>
                    <w:ind w:firstLine="0" w:firstLineChars="0"/>
                    <w:rPr>
                      <w:color w:val="000000"/>
                      <w:kern w:val="0"/>
                      <w:sz w:val="21"/>
                      <w:szCs w:val="21"/>
                      <w:lang w:bidi="ar"/>
                    </w:rPr>
                  </w:pPr>
                  <w:r>
                    <w:rPr>
                      <w:color w:val="000000"/>
                      <w:kern w:val="0"/>
                      <w:sz w:val="21"/>
                      <w:szCs w:val="21"/>
                      <w:lang w:bidi="ar"/>
                    </w:rPr>
                    <w:t>1-1.</w:t>
                  </w:r>
                  <w:r>
                    <w:rPr>
                      <w:kern w:val="0"/>
                      <w:sz w:val="21"/>
                      <w:szCs w:val="21"/>
                      <w:lang w:bidi="ar"/>
                    </w:rPr>
                    <w:t>【产业/禁止类】禁止引进国家《产业结构调整指导目录》中限制类、淘汰类项目和《市场准入负面清单》禁止准入类项目。</w:t>
                  </w:r>
                </w:p>
                <w:p w14:paraId="7C65B1C3">
                  <w:pPr>
                    <w:spacing w:line="240" w:lineRule="auto"/>
                    <w:ind w:firstLine="0" w:firstLineChars="0"/>
                    <w:rPr>
                      <w:color w:val="000000"/>
                      <w:kern w:val="0"/>
                      <w:sz w:val="21"/>
                      <w:szCs w:val="21"/>
                      <w:lang w:bidi="ar"/>
                    </w:rPr>
                  </w:pPr>
                  <w:r>
                    <w:rPr>
                      <w:color w:val="000000"/>
                      <w:kern w:val="0"/>
                      <w:sz w:val="21"/>
                      <w:szCs w:val="21"/>
                      <w:lang w:bidi="ar"/>
                    </w:rPr>
                    <w:t>1-2.【生态/限制类】生态保护红线按照《关于国土空间规划中统筹划定落实三条控制线的指导意见》严格管控，自然保护地核心保护区原则上禁止人为活动，其他区域严格禁止开发性、生产性建设活动，在符合现行法律法规前提下，除国家重大战略项目外，仅允许对生态功能不造成破坏的8类有限人为活动。</w:t>
                  </w:r>
                </w:p>
                <w:p w14:paraId="633336F2">
                  <w:pPr>
                    <w:spacing w:line="240" w:lineRule="auto"/>
                    <w:ind w:firstLine="0" w:firstLineChars="0"/>
                    <w:rPr>
                      <w:color w:val="000000"/>
                      <w:kern w:val="0"/>
                      <w:sz w:val="21"/>
                      <w:szCs w:val="21"/>
                      <w:lang w:bidi="ar"/>
                    </w:rPr>
                  </w:pPr>
                  <w:r>
                    <w:rPr>
                      <w:color w:val="000000"/>
                      <w:kern w:val="0"/>
                      <w:sz w:val="21"/>
                      <w:szCs w:val="21"/>
                      <w:lang w:bidi="ar"/>
                    </w:rPr>
                    <w:t>1-3.【生态/限制类】一般生态空间可开展生态保护红线内允许的活动；在不影响主导生态功能的前提下，还可开展国家和省规定不纳入环评管理的项目建设，以及生态旅游、畜禽养殖、基础设施建设、村庄建设等人为活动。</w:t>
                  </w:r>
                </w:p>
                <w:p w14:paraId="55FB44EE">
                  <w:pPr>
                    <w:spacing w:line="240" w:lineRule="auto"/>
                    <w:ind w:firstLine="0" w:firstLineChars="0"/>
                    <w:rPr>
                      <w:color w:val="000000"/>
                      <w:kern w:val="0"/>
                      <w:sz w:val="21"/>
                      <w:szCs w:val="21"/>
                      <w:lang w:bidi="ar"/>
                    </w:rPr>
                  </w:pPr>
                  <w:r>
                    <w:rPr>
                      <w:color w:val="000000"/>
                      <w:kern w:val="0"/>
                      <w:sz w:val="21"/>
                      <w:szCs w:val="21"/>
                      <w:lang w:bidi="ar"/>
                    </w:rPr>
                    <w:t>1-4.【大气/禁止类】小北山风景区至西环山森林公园片区大气一类功能区内，禁止新建、扩建大气污染物排放工业项目（国家和省规定不纳入环评管理的项目除外）。</w:t>
                  </w:r>
                </w:p>
                <w:p w14:paraId="16C1EB59">
                  <w:pPr>
                    <w:widowControl/>
                    <w:spacing w:line="240" w:lineRule="auto"/>
                    <w:ind w:firstLine="0" w:firstLineChars="0"/>
                    <w:rPr>
                      <w:color w:val="000000"/>
                      <w:kern w:val="0"/>
                      <w:sz w:val="21"/>
                      <w:szCs w:val="21"/>
                      <w:lang w:bidi="ar"/>
                    </w:rPr>
                  </w:pPr>
                  <w:r>
                    <w:rPr>
                      <w:color w:val="000000"/>
                      <w:kern w:val="0"/>
                      <w:sz w:val="21"/>
                      <w:szCs w:val="21"/>
                      <w:lang w:bidi="ar"/>
                    </w:rPr>
                    <w:t>1-5.</w:t>
                  </w:r>
                  <w:r>
                    <w:rPr>
                      <w:kern w:val="0"/>
                      <w:sz w:val="21"/>
                      <w:szCs w:val="21"/>
                      <w:lang w:bidi="ar"/>
                    </w:rPr>
                    <w:t>【大气/限制类】</w:t>
                  </w:r>
                  <w:r>
                    <w:rPr>
                      <w:color w:val="000000"/>
                      <w:kern w:val="0"/>
                      <w:sz w:val="21"/>
                      <w:szCs w:val="21"/>
                      <w:lang w:bidi="ar"/>
                    </w:rPr>
                    <w:t>城南街道、棉北街道、文光街道、和平镇、谷饶镇局部区域为大气环境受体敏感重点管控区，严格限制新建钢铁、燃煤燃油火电、石化等项目，产生和排放有毒有害大气污染物项目，以及使用溶剂型油墨、涂料、清洗剂、胶粘剂等高挥发性有机物（VOCs）原辅材料的项目。</w:t>
                  </w:r>
                </w:p>
              </w:tc>
              <w:tc>
                <w:tcPr>
                  <w:tcW w:w="1515" w:type="pct"/>
                  <w:tcBorders>
                    <w:top w:val="single" w:color="auto" w:sz="4" w:space="0"/>
                    <w:left w:val="single" w:color="auto" w:sz="4" w:space="0"/>
                    <w:bottom w:val="single" w:color="auto" w:sz="4" w:space="0"/>
                    <w:right w:val="single" w:color="auto" w:sz="4" w:space="0"/>
                  </w:tcBorders>
                  <w:vAlign w:val="center"/>
                </w:tcPr>
                <w:p w14:paraId="59918808">
                  <w:pPr>
                    <w:widowControl/>
                    <w:spacing w:line="240" w:lineRule="auto"/>
                    <w:ind w:firstLine="0" w:firstLineChars="0"/>
                    <w:rPr>
                      <w:sz w:val="21"/>
                      <w:szCs w:val="21"/>
                    </w:rPr>
                  </w:pPr>
                  <w:r>
                    <w:rPr>
                      <w:sz w:val="21"/>
                      <w:szCs w:val="21"/>
                    </w:rPr>
                    <w:t>1-1：不属于国家《产业结构调整指导目录》中限制类、淘汰类项目和《市场准入负面清单》禁止准入类项目。</w:t>
                  </w:r>
                </w:p>
                <w:p w14:paraId="35853FE8">
                  <w:pPr>
                    <w:widowControl/>
                    <w:spacing w:line="240" w:lineRule="auto"/>
                    <w:ind w:firstLine="0" w:firstLineChars="0"/>
                    <w:rPr>
                      <w:color w:val="000000"/>
                      <w:kern w:val="0"/>
                      <w:sz w:val="21"/>
                      <w:szCs w:val="21"/>
                      <w:lang w:bidi="ar"/>
                    </w:rPr>
                  </w:pPr>
                  <w:r>
                    <w:rPr>
                      <w:color w:val="000000"/>
                      <w:kern w:val="0"/>
                      <w:sz w:val="21"/>
                      <w:szCs w:val="21"/>
                      <w:lang w:bidi="ar"/>
                    </w:rPr>
                    <w:t>1-2：本项目不涉及生态红线占有；</w:t>
                  </w:r>
                </w:p>
                <w:p w14:paraId="430B52A1">
                  <w:pPr>
                    <w:widowControl/>
                    <w:spacing w:line="240" w:lineRule="auto"/>
                    <w:ind w:firstLine="0" w:firstLineChars="0"/>
                    <w:rPr>
                      <w:color w:val="000000"/>
                      <w:kern w:val="0"/>
                      <w:sz w:val="21"/>
                      <w:szCs w:val="21"/>
                      <w:lang w:bidi="ar"/>
                    </w:rPr>
                  </w:pPr>
                  <w:r>
                    <w:rPr>
                      <w:color w:val="000000"/>
                      <w:kern w:val="0"/>
                      <w:sz w:val="21"/>
                      <w:szCs w:val="21"/>
                      <w:lang w:bidi="ar"/>
                    </w:rPr>
                    <w:t>1-3：项目所在地为潮阳区一般生态空间，项目为</w:t>
                  </w:r>
                  <w:r>
                    <w:rPr>
                      <w:rFonts w:hint="eastAsia"/>
                      <w:color w:val="000000"/>
                      <w:kern w:val="0"/>
                      <w:sz w:val="21"/>
                      <w:szCs w:val="21"/>
                      <w:lang w:val="en-US" w:eastAsia="zh-CN" w:bidi="ar"/>
                    </w:rPr>
                    <w:t>化工助剂生产</w:t>
                  </w:r>
                  <w:r>
                    <w:rPr>
                      <w:color w:val="000000"/>
                      <w:kern w:val="0"/>
                      <w:sz w:val="21"/>
                      <w:szCs w:val="21"/>
                      <w:lang w:bidi="ar"/>
                    </w:rPr>
                    <w:t>项目，属于生态保护红线内允许的活动。</w:t>
                  </w:r>
                </w:p>
                <w:p w14:paraId="1A597408">
                  <w:pPr>
                    <w:widowControl/>
                    <w:spacing w:line="240" w:lineRule="auto"/>
                    <w:ind w:firstLine="0" w:firstLineChars="0"/>
                    <w:rPr>
                      <w:color w:val="000000"/>
                      <w:kern w:val="0"/>
                      <w:sz w:val="21"/>
                      <w:szCs w:val="21"/>
                      <w:lang w:bidi="ar"/>
                    </w:rPr>
                  </w:pPr>
                  <w:r>
                    <w:rPr>
                      <w:color w:val="000000"/>
                      <w:kern w:val="0"/>
                      <w:sz w:val="21"/>
                      <w:szCs w:val="21"/>
                      <w:lang w:bidi="ar"/>
                    </w:rPr>
                    <w:t>1-4：本项目位于环境空气质量二类区，</w:t>
                  </w:r>
                  <w:r>
                    <w:rPr>
                      <w:rFonts w:hint="eastAsia"/>
                      <w:color w:val="000000"/>
                      <w:kern w:val="0"/>
                      <w:sz w:val="21"/>
                      <w:szCs w:val="21"/>
                      <w:lang w:val="en-US" w:eastAsia="zh-CN" w:bidi="ar"/>
                    </w:rPr>
                    <w:t>废气经收集处理后达标排放</w:t>
                  </w:r>
                  <w:r>
                    <w:rPr>
                      <w:color w:val="000000"/>
                      <w:kern w:val="0"/>
                      <w:sz w:val="21"/>
                      <w:szCs w:val="21"/>
                      <w:lang w:bidi="ar"/>
                    </w:rPr>
                    <w:t>。</w:t>
                  </w:r>
                </w:p>
                <w:p w14:paraId="3CF677C4">
                  <w:pPr>
                    <w:widowControl/>
                    <w:spacing w:line="240" w:lineRule="auto"/>
                    <w:ind w:firstLine="0" w:firstLineChars="0"/>
                    <w:rPr>
                      <w:color w:val="000000"/>
                      <w:kern w:val="0"/>
                      <w:sz w:val="21"/>
                      <w:szCs w:val="21"/>
                      <w:lang w:bidi="ar"/>
                    </w:rPr>
                  </w:pPr>
                  <w:r>
                    <w:rPr>
                      <w:color w:val="000000"/>
                      <w:kern w:val="0"/>
                      <w:sz w:val="21"/>
                      <w:szCs w:val="21"/>
                      <w:lang w:bidi="ar"/>
                    </w:rPr>
                    <w:t>1-5：本项目为</w:t>
                  </w:r>
                  <w:r>
                    <w:rPr>
                      <w:rFonts w:hint="eastAsia"/>
                      <w:color w:val="000000"/>
                      <w:kern w:val="0"/>
                      <w:sz w:val="21"/>
                      <w:szCs w:val="21"/>
                      <w:lang w:val="en-US" w:eastAsia="zh-CN" w:bidi="ar"/>
                    </w:rPr>
                    <w:t>化工助剂生产项</w:t>
                  </w:r>
                  <w:r>
                    <w:rPr>
                      <w:color w:val="000000"/>
                      <w:kern w:val="0"/>
                      <w:sz w:val="21"/>
                      <w:szCs w:val="21"/>
                      <w:lang w:bidi="ar"/>
                    </w:rPr>
                    <w:t>目，</w:t>
                  </w:r>
                  <w:r>
                    <w:rPr>
                      <w:rFonts w:hint="eastAsia"/>
                      <w:color w:val="000000"/>
                      <w:kern w:val="0"/>
                      <w:sz w:val="21"/>
                      <w:szCs w:val="21"/>
                      <w:lang w:val="en-US" w:eastAsia="zh-CN" w:bidi="ar"/>
                    </w:rPr>
                    <w:t>生产过程不涉及使用</w:t>
                  </w:r>
                  <w:r>
                    <w:rPr>
                      <w:color w:val="000000"/>
                      <w:kern w:val="0"/>
                      <w:sz w:val="21"/>
                      <w:szCs w:val="21"/>
                      <w:lang w:bidi="ar"/>
                    </w:rPr>
                    <w:t>溶剂型油墨、涂料、清洗剂、胶粘剂等高挥发性有机物（VOCs）原辅材料</w:t>
                  </w:r>
                  <w:r>
                    <w:rPr>
                      <w:rFonts w:hint="eastAsia"/>
                      <w:color w:val="000000"/>
                      <w:kern w:val="0"/>
                      <w:sz w:val="21"/>
                      <w:szCs w:val="21"/>
                      <w:lang w:eastAsia="zh-CN" w:bidi="ar"/>
                    </w:rPr>
                    <w:t>，</w:t>
                  </w:r>
                  <w:r>
                    <w:rPr>
                      <w:color w:val="000000"/>
                      <w:kern w:val="0"/>
                      <w:sz w:val="21"/>
                      <w:szCs w:val="21"/>
                      <w:lang w:bidi="ar"/>
                    </w:rPr>
                    <w:t>不属于该项规定要求涉及行业。</w:t>
                  </w:r>
                </w:p>
              </w:tc>
            </w:tr>
            <w:tr w14:paraId="6B7F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single" w:color="auto" w:sz="4" w:space="0"/>
                    <w:left w:val="single" w:color="auto" w:sz="4" w:space="0"/>
                    <w:bottom w:val="single" w:color="auto" w:sz="4" w:space="0"/>
                    <w:right w:val="single" w:color="auto" w:sz="4" w:space="0"/>
                  </w:tcBorders>
                  <w:vAlign w:val="center"/>
                </w:tcPr>
                <w:p w14:paraId="7D229B4A">
                  <w:pPr>
                    <w:tabs>
                      <w:tab w:val="left" w:pos="1021"/>
                    </w:tabs>
                    <w:spacing w:line="240" w:lineRule="auto"/>
                    <w:ind w:firstLine="0" w:firstLineChars="0"/>
                    <w:jc w:val="center"/>
                    <w:rPr>
                      <w:kern w:val="0"/>
                      <w:sz w:val="21"/>
                      <w:szCs w:val="21"/>
                    </w:rPr>
                  </w:pPr>
                  <w:r>
                    <w:rPr>
                      <w:kern w:val="0"/>
                      <w:sz w:val="21"/>
                      <w:szCs w:val="21"/>
                    </w:rPr>
                    <w:t>能源资源利用</w:t>
                  </w:r>
                </w:p>
              </w:tc>
              <w:tc>
                <w:tcPr>
                  <w:tcW w:w="2805" w:type="pct"/>
                  <w:gridSpan w:val="3"/>
                  <w:tcBorders>
                    <w:top w:val="single" w:color="auto" w:sz="4" w:space="0"/>
                    <w:left w:val="single" w:color="auto" w:sz="4" w:space="0"/>
                    <w:bottom w:val="single" w:color="auto" w:sz="4" w:space="0"/>
                    <w:right w:val="single" w:color="auto" w:sz="4" w:space="0"/>
                  </w:tcBorders>
                  <w:vAlign w:val="center"/>
                </w:tcPr>
                <w:p w14:paraId="7A25FD74">
                  <w:pPr>
                    <w:spacing w:line="240" w:lineRule="auto"/>
                    <w:ind w:firstLine="0" w:firstLineChars="0"/>
                    <w:rPr>
                      <w:kern w:val="0"/>
                      <w:sz w:val="21"/>
                      <w:szCs w:val="21"/>
                      <w:lang w:bidi="ar"/>
                    </w:rPr>
                  </w:pPr>
                  <w:r>
                    <w:rPr>
                      <w:kern w:val="0"/>
                      <w:sz w:val="21"/>
                      <w:szCs w:val="21"/>
                      <w:lang w:bidi="ar"/>
                    </w:rPr>
                    <w:t>2-1.【能源/禁止类】小北山风景区至西环山森林公园片区大气一类功能区、文光街道、城南街道、棉北街道、金浦街道、海门镇（不含华能海门电厂、华电丰盛汕头电厂厂址范围）属于高污染燃料禁燃区，禁止新建、扩建燃用III类燃料组合（煤炭及其制品）的设施。</w:t>
                  </w:r>
                </w:p>
                <w:p w14:paraId="7E256681">
                  <w:pPr>
                    <w:spacing w:line="240" w:lineRule="auto"/>
                    <w:ind w:firstLine="0" w:firstLineChars="0"/>
                    <w:rPr>
                      <w:kern w:val="0"/>
                      <w:sz w:val="21"/>
                      <w:szCs w:val="21"/>
                      <w:lang w:bidi="ar"/>
                    </w:rPr>
                  </w:pPr>
                  <w:r>
                    <w:rPr>
                      <w:kern w:val="0"/>
                      <w:sz w:val="21"/>
                      <w:szCs w:val="21"/>
                      <w:lang w:bidi="ar"/>
                    </w:rPr>
                    <w:t>2-2.【水资源/限制类】到2025年，练江流域内城镇再生水利用率达到20%以上。</w:t>
                  </w:r>
                </w:p>
                <w:p w14:paraId="692916C7">
                  <w:pPr>
                    <w:spacing w:line="240" w:lineRule="auto"/>
                    <w:ind w:firstLine="0" w:firstLineChars="0"/>
                    <w:rPr>
                      <w:kern w:val="0"/>
                      <w:sz w:val="21"/>
                      <w:szCs w:val="21"/>
                      <w:lang w:bidi="ar"/>
                    </w:rPr>
                  </w:pPr>
                  <w:r>
                    <w:rPr>
                      <w:kern w:val="0"/>
                      <w:sz w:val="21"/>
                      <w:szCs w:val="21"/>
                      <w:lang w:bidi="ar"/>
                    </w:rPr>
                    <w:t>2-3.【土地资源/鼓励引导类】引导城镇集约紧凑发展，提高土地利用综合效率。</w:t>
                  </w:r>
                </w:p>
              </w:tc>
              <w:tc>
                <w:tcPr>
                  <w:tcW w:w="1515" w:type="pct"/>
                  <w:tcBorders>
                    <w:top w:val="single" w:color="auto" w:sz="4" w:space="0"/>
                    <w:left w:val="single" w:color="auto" w:sz="4" w:space="0"/>
                    <w:bottom w:val="single" w:color="auto" w:sz="4" w:space="0"/>
                    <w:right w:val="single" w:color="auto" w:sz="4" w:space="0"/>
                  </w:tcBorders>
                  <w:vAlign w:val="center"/>
                </w:tcPr>
                <w:p w14:paraId="43822A3E">
                  <w:pPr>
                    <w:spacing w:line="240" w:lineRule="auto"/>
                    <w:ind w:firstLine="0" w:firstLineChars="0"/>
                    <w:rPr>
                      <w:kern w:val="0"/>
                      <w:sz w:val="21"/>
                      <w:szCs w:val="21"/>
                      <w:lang w:bidi="ar"/>
                    </w:rPr>
                  </w:pPr>
                  <w:r>
                    <w:rPr>
                      <w:kern w:val="0"/>
                      <w:sz w:val="21"/>
                      <w:szCs w:val="21"/>
                      <w:lang w:bidi="ar"/>
                    </w:rPr>
                    <w:t>2-1本项目不使用III类燃料组合（煤炭及其制品）的设施。</w:t>
                  </w:r>
                </w:p>
                <w:p w14:paraId="4C3922C1">
                  <w:pPr>
                    <w:spacing w:line="240" w:lineRule="auto"/>
                    <w:ind w:firstLine="0" w:firstLineChars="0"/>
                    <w:rPr>
                      <w:kern w:val="0"/>
                      <w:sz w:val="21"/>
                      <w:szCs w:val="21"/>
                      <w:lang w:bidi="ar"/>
                    </w:rPr>
                  </w:pPr>
                  <w:r>
                    <w:rPr>
                      <w:kern w:val="0"/>
                      <w:sz w:val="21"/>
                      <w:szCs w:val="21"/>
                      <w:lang w:bidi="ar"/>
                    </w:rPr>
                    <w:t>2-2 项目用水相对区域用量比重极小，对区域达成控制目标的影响较小。</w:t>
                  </w:r>
                </w:p>
                <w:p w14:paraId="04610C4D">
                  <w:pPr>
                    <w:spacing w:line="240" w:lineRule="auto"/>
                    <w:ind w:firstLine="0" w:firstLineChars="0"/>
                    <w:rPr>
                      <w:kern w:val="0"/>
                      <w:sz w:val="21"/>
                      <w:szCs w:val="21"/>
                      <w:lang w:bidi="ar"/>
                    </w:rPr>
                  </w:pPr>
                  <w:r>
                    <w:rPr>
                      <w:kern w:val="0"/>
                      <w:sz w:val="21"/>
                      <w:szCs w:val="21"/>
                      <w:lang w:bidi="ar"/>
                    </w:rPr>
                    <w:t>2-3项目是</w:t>
                  </w:r>
                  <w:r>
                    <w:rPr>
                      <w:rFonts w:hint="eastAsia"/>
                      <w:kern w:val="0"/>
                      <w:sz w:val="21"/>
                      <w:szCs w:val="21"/>
                      <w:lang w:val="en-US" w:eastAsia="zh-CN" w:bidi="ar"/>
                    </w:rPr>
                    <w:t>化工助剂生产</w:t>
                  </w:r>
                  <w:r>
                    <w:rPr>
                      <w:kern w:val="0"/>
                      <w:sz w:val="21"/>
                      <w:szCs w:val="21"/>
                      <w:lang w:bidi="ar"/>
                    </w:rPr>
                    <w:t>项目，</w:t>
                  </w:r>
                  <w:r>
                    <w:rPr>
                      <w:rFonts w:hint="eastAsia"/>
                      <w:kern w:val="0"/>
                      <w:sz w:val="21"/>
                      <w:szCs w:val="21"/>
                      <w:lang w:val="en-US" w:eastAsia="zh-CN" w:bidi="ar"/>
                    </w:rPr>
                    <w:t>不属于</w:t>
                  </w:r>
                  <w:r>
                    <w:rPr>
                      <w:kern w:val="0"/>
                      <w:sz w:val="21"/>
                      <w:szCs w:val="21"/>
                      <w:lang w:bidi="ar"/>
                    </w:rPr>
                    <w:t>产业</w:t>
                  </w:r>
                  <w:r>
                    <w:rPr>
                      <w:rFonts w:hint="eastAsia"/>
                      <w:kern w:val="0"/>
                      <w:sz w:val="21"/>
                      <w:szCs w:val="21"/>
                      <w:lang w:val="en-US" w:eastAsia="zh-CN" w:bidi="ar"/>
                    </w:rPr>
                    <w:t>禁止</w:t>
                  </w:r>
                  <w:r>
                    <w:rPr>
                      <w:kern w:val="0"/>
                      <w:sz w:val="21"/>
                      <w:szCs w:val="21"/>
                      <w:lang w:bidi="ar"/>
                    </w:rPr>
                    <w:t>类。项目占地面积</w:t>
                  </w:r>
                  <w:r>
                    <w:rPr>
                      <w:rFonts w:hint="eastAsia"/>
                      <w:kern w:val="0"/>
                      <w:sz w:val="21"/>
                      <w:szCs w:val="21"/>
                      <w:lang w:bidi="ar"/>
                    </w:rPr>
                    <w:t>2590.59</w:t>
                  </w:r>
                  <w:r>
                    <w:rPr>
                      <w:kern w:val="0"/>
                      <w:sz w:val="21"/>
                      <w:szCs w:val="21"/>
                      <w:lang w:bidi="ar"/>
                    </w:rPr>
                    <w:t>㎡，</w:t>
                  </w:r>
                  <w:r>
                    <w:rPr>
                      <w:rFonts w:hint="eastAsia"/>
                      <w:kern w:val="0"/>
                      <w:sz w:val="21"/>
                      <w:szCs w:val="21"/>
                      <w:lang w:val="en-US" w:eastAsia="zh-CN" w:bidi="ar"/>
                    </w:rPr>
                    <w:t>生产布置合理</w:t>
                  </w:r>
                  <w:r>
                    <w:rPr>
                      <w:kern w:val="0"/>
                      <w:sz w:val="21"/>
                      <w:szCs w:val="21"/>
                      <w:lang w:bidi="ar"/>
                    </w:rPr>
                    <w:t>，土地利用综合效率较高。</w:t>
                  </w:r>
                </w:p>
              </w:tc>
            </w:tr>
            <w:tr w14:paraId="27D9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single" w:color="auto" w:sz="4" w:space="0"/>
                    <w:left w:val="single" w:color="auto" w:sz="4" w:space="0"/>
                    <w:bottom w:val="single" w:color="auto" w:sz="4" w:space="0"/>
                    <w:right w:val="single" w:color="auto" w:sz="4" w:space="0"/>
                  </w:tcBorders>
                  <w:vAlign w:val="center"/>
                </w:tcPr>
                <w:p w14:paraId="0BEA539A">
                  <w:pPr>
                    <w:widowControl/>
                    <w:spacing w:line="240" w:lineRule="auto"/>
                    <w:ind w:firstLine="0" w:firstLineChars="0"/>
                    <w:jc w:val="center"/>
                    <w:rPr>
                      <w:kern w:val="0"/>
                      <w:sz w:val="21"/>
                      <w:szCs w:val="21"/>
                    </w:rPr>
                  </w:pPr>
                  <w:r>
                    <w:rPr>
                      <w:color w:val="000000"/>
                      <w:kern w:val="0"/>
                      <w:sz w:val="21"/>
                      <w:szCs w:val="21"/>
                    </w:rPr>
                    <w:t>污染物排放管控</w:t>
                  </w:r>
                </w:p>
              </w:tc>
              <w:tc>
                <w:tcPr>
                  <w:tcW w:w="2805" w:type="pct"/>
                  <w:gridSpan w:val="3"/>
                  <w:tcBorders>
                    <w:top w:val="single" w:color="auto" w:sz="4" w:space="0"/>
                    <w:left w:val="single" w:color="auto" w:sz="4" w:space="0"/>
                    <w:bottom w:val="single" w:color="auto" w:sz="4" w:space="0"/>
                    <w:right w:val="single" w:color="auto" w:sz="4" w:space="0"/>
                  </w:tcBorders>
                  <w:vAlign w:val="center"/>
                </w:tcPr>
                <w:p w14:paraId="4AE078B6">
                  <w:pPr>
                    <w:spacing w:line="240" w:lineRule="auto"/>
                    <w:ind w:firstLine="0" w:firstLineChars="0"/>
                    <w:rPr>
                      <w:kern w:val="0"/>
                      <w:sz w:val="21"/>
                      <w:szCs w:val="21"/>
                      <w:lang w:bidi="ar"/>
                    </w:rPr>
                  </w:pPr>
                  <w:r>
                    <w:rPr>
                      <w:kern w:val="0"/>
                      <w:sz w:val="21"/>
                      <w:szCs w:val="21"/>
                      <w:lang w:bidi="ar"/>
                    </w:rPr>
                    <w:t>3-1.【水/综合类】潮阳区污水处理厂、谷饶污水处理厂和铜盂镇第一污水处理厂属于练江流域，出水排放标准达到地表水环境质量V类标准。</w:t>
                  </w:r>
                </w:p>
                <w:p w14:paraId="29973215">
                  <w:pPr>
                    <w:spacing w:line="240" w:lineRule="auto"/>
                    <w:ind w:firstLine="0" w:firstLineChars="0"/>
                    <w:rPr>
                      <w:kern w:val="0"/>
                      <w:sz w:val="21"/>
                      <w:szCs w:val="21"/>
                      <w:lang w:bidi="ar"/>
                    </w:rPr>
                  </w:pPr>
                  <w:r>
                    <w:rPr>
                      <w:kern w:val="0"/>
                      <w:sz w:val="21"/>
                      <w:szCs w:val="21"/>
                      <w:lang w:bidi="ar"/>
                    </w:rPr>
                    <w:t>3-2.【水/限制类】海门、河溪、金灶、西胪、关埠污水处理厂出水排放标准达到《城镇污水处理厂污染物排放标准》（GB18918）一级A标准及广东省地方标准《水污染物排放限值》（DB44/26）的较严值。</w:t>
                  </w:r>
                </w:p>
                <w:p w14:paraId="5EAD4B7D">
                  <w:pPr>
                    <w:spacing w:line="240" w:lineRule="auto"/>
                    <w:ind w:firstLine="0" w:firstLineChars="0"/>
                    <w:rPr>
                      <w:kern w:val="0"/>
                      <w:sz w:val="21"/>
                      <w:szCs w:val="21"/>
                      <w:lang w:bidi="ar"/>
                    </w:rPr>
                  </w:pPr>
                  <w:r>
                    <w:rPr>
                      <w:kern w:val="0"/>
                      <w:sz w:val="21"/>
                      <w:szCs w:val="21"/>
                      <w:lang w:bidi="ar"/>
                    </w:rPr>
                    <w:t>3-3.【水/综合类】完善污水处理配套管网建设，提升污水收集处理效能，到2025年，潮阳区城市污水处理率达到95%以上，镇区污水处理率达到88%以上。</w:t>
                  </w:r>
                </w:p>
                <w:p w14:paraId="5043D7B9">
                  <w:pPr>
                    <w:spacing w:line="240" w:lineRule="auto"/>
                    <w:ind w:firstLine="0" w:firstLineChars="0"/>
                    <w:rPr>
                      <w:kern w:val="0"/>
                      <w:sz w:val="21"/>
                      <w:szCs w:val="21"/>
                      <w:lang w:bidi="ar"/>
                    </w:rPr>
                  </w:pPr>
                  <w:r>
                    <w:rPr>
                      <w:kern w:val="0"/>
                      <w:sz w:val="21"/>
                      <w:szCs w:val="21"/>
                      <w:lang w:bidi="ar"/>
                    </w:rPr>
                    <w:t>3-4.【水/综合类】农村地区因地制宜选择合适的污水处理方式，逐步提升农村生活污水处理率；完善进村污水管网，农村生活污水收集率进一步提高。</w:t>
                  </w:r>
                </w:p>
                <w:p w14:paraId="5E69AD19">
                  <w:pPr>
                    <w:spacing w:line="240" w:lineRule="auto"/>
                    <w:ind w:firstLine="0" w:firstLineChars="0"/>
                    <w:rPr>
                      <w:kern w:val="0"/>
                      <w:sz w:val="21"/>
                      <w:szCs w:val="21"/>
                      <w:lang w:bidi="ar"/>
                    </w:rPr>
                  </w:pPr>
                  <w:r>
                    <w:rPr>
                      <w:kern w:val="0"/>
                      <w:sz w:val="21"/>
                      <w:szCs w:val="21"/>
                      <w:lang w:bidi="ar"/>
                    </w:rPr>
                    <w:t>3-5.【水/综合类】实施养殖量与排放量“双总量”控制，限养区和适养区现有规模化畜禽养殖场（小区）要配套建设粪便污水贮存、处理与利用设施，散养密集区域要实行粪便污水分</w:t>
                  </w:r>
                </w:p>
                <w:p w14:paraId="377BE8AA">
                  <w:pPr>
                    <w:spacing w:line="240" w:lineRule="auto"/>
                    <w:ind w:firstLine="0" w:firstLineChars="0"/>
                    <w:rPr>
                      <w:kern w:val="0"/>
                      <w:sz w:val="21"/>
                      <w:szCs w:val="21"/>
                      <w:lang w:bidi="ar"/>
                    </w:rPr>
                  </w:pPr>
                  <w:r>
                    <w:rPr>
                      <w:kern w:val="0"/>
                      <w:sz w:val="21"/>
                      <w:szCs w:val="21"/>
                      <w:lang w:bidi="ar"/>
                    </w:rPr>
                    <w:t>户收集、集中处理利用；新建、改建、扩建规模化畜禽养殖场（小区）要实施雨污分流、粪便污水资源化利用。</w:t>
                  </w:r>
                </w:p>
                <w:p w14:paraId="04C4A619">
                  <w:pPr>
                    <w:spacing w:line="240" w:lineRule="auto"/>
                    <w:ind w:firstLine="0" w:firstLineChars="0"/>
                    <w:rPr>
                      <w:kern w:val="0"/>
                      <w:sz w:val="21"/>
                      <w:szCs w:val="21"/>
                      <w:lang w:bidi="ar"/>
                    </w:rPr>
                  </w:pPr>
                  <w:r>
                    <w:rPr>
                      <w:kern w:val="0"/>
                      <w:sz w:val="21"/>
                      <w:szCs w:val="21"/>
                      <w:lang w:bidi="ar"/>
                    </w:rPr>
                    <w:t>3-6.【水/综合类】按照养殖水域滩涂功能区划，严格控制养殖密度，养殖尾水排入河涌符合相应排放标准要求。</w:t>
                  </w:r>
                </w:p>
                <w:p w14:paraId="5A031E3C">
                  <w:pPr>
                    <w:spacing w:line="240" w:lineRule="auto"/>
                    <w:ind w:firstLine="0" w:firstLineChars="0"/>
                    <w:rPr>
                      <w:kern w:val="0"/>
                      <w:sz w:val="21"/>
                      <w:szCs w:val="21"/>
                      <w:lang w:bidi="ar"/>
                    </w:rPr>
                  </w:pPr>
                  <w:r>
                    <w:rPr>
                      <w:kern w:val="0"/>
                      <w:sz w:val="21"/>
                      <w:szCs w:val="21"/>
                      <w:lang w:bidi="ar"/>
                    </w:rPr>
                    <w:t>3-7.【大气/综合类】实施涉挥发性有机物（VOCs）排放行业企业分级和清单化管控，严格落实国家产品挥发性有机物（VOCs）含量限值标准，鼓励优先使用低挥发性有机物（VOCs）含量原辅料。</w:t>
                  </w:r>
                </w:p>
                <w:p w14:paraId="5D7BFAE6">
                  <w:pPr>
                    <w:spacing w:line="240" w:lineRule="auto"/>
                    <w:ind w:firstLine="0" w:firstLineChars="0"/>
                    <w:rPr>
                      <w:kern w:val="0"/>
                      <w:sz w:val="21"/>
                      <w:szCs w:val="21"/>
                      <w:lang w:bidi="ar"/>
                    </w:rPr>
                  </w:pPr>
                  <w:r>
                    <w:rPr>
                      <w:kern w:val="0"/>
                      <w:sz w:val="21"/>
                      <w:szCs w:val="21"/>
                      <w:lang w:bidi="ar"/>
                    </w:rPr>
                    <w:t>3-8.【土壤/禁止类】禁止向土壤排放重金属或者其他有毒有害物质含量超标的污水、污泥等。</w:t>
                  </w:r>
                </w:p>
                <w:p w14:paraId="50D5D40A">
                  <w:pPr>
                    <w:keepNext/>
                    <w:keepLines/>
                    <w:spacing w:line="240" w:lineRule="auto"/>
                    <w:ind w:firstLine="0" w:firstLineChars="0"/>
                    <w:outlineLvl w:val="2"/>
                    <w:rPr>
                      <w:kern w:val="0"/>
                      <w:sz w:val="21"/>
                      <w:szCs w:val="21"/>
                      <w:lang w:bidi="ar"/>
                    </w:rPr>
                  </w:pPr>
                  <w:r>
                    <w:rPr>
                      <w:kern w:val="0"/>
                      <w:sz w:val="21"/>
                      <w:szCs w:val="21"/>
                      <w:lang w:bidi="ar"/>
                    </w:rPr>
                    <w:t>3-9.【土壤/综合类】土壤环境污染重点监管工业企业落实《工矿用地土壤环境管理办法（试行）》要求，重点单位以外的企事业单位和其他生产经营活动涉及有毒有害物质的，其用地土壤和地下水环境保护相关活动及相关环境保护监督管理可参照《工矿用地土壤环境管理办法（试行）》执行。</w:t>
                  </w:r>
                </w:p>
                <w:p w14:paraId="364B802B">
                  <w:pPr>
                    <w:spacing w:line="240" w:lineRule="auto"/>
                    <w:ind w:firstLine="0" w:firstLineChars="0"/>
                    <w:rPr>
                      <w:sz w:val="21"/>
                      <w:szCs w:val="21"/>
                    </w:rPr>
                  </w:pPr>
                  <w:r>
                    <w:rPr>
                      <w:kern w:val="0"/>
                      <w:sz w:val="21"/>
                      <w:szCs w:val="21"/>
                      <w:lang w:bidi="ar"/>
                    </w:rPr>
                    <w:t>3-10.【固废/综合类】产生固体废物（含危险废物）的企业须配套建设符合规范且满足需求的贮存场所，固体废物（含危险废物）贮存、转移过程中应配套防扬散、防流失、防渗漏及其它防止污染环境的措施。</w:t>
                  </w:r>
                </w:p>
              </w:tc>
              <w:tc>
                <w:tcPr>
                  <w:tcW w:w="1515" w:type="pct"/>
                  <w:tcBorders>
                    <w:top w:val="single" w:color="auto" w:sz="4" w:space="0"/>
                    <w:left w:val="single" w:color="auto" w:sz="4" w:space="0"/>
                    <w:bottom w:val="single" w:color="auto" w:sz="4" w:space="0"/>
                    <w:right w:val="single" w:color="auto" w:sz="4" w:space="0"/>
                  </w:tcBorders>
                  <w:vAlign w:val="center"/>
                </w:tcPr>
                <w:p w14:paraId="4451A419">
                  <w:pPr>
                    <w:spacing w:line="240" w:lineRule="auto"/>
                    <w:ind w:firstLine="0" w:firstLineChars="0"/>
                    <w:rPr>
                      <w:kern w:val="0"/>
                      <w:sz w:val="21"/>
                      <w:szCs w:val="21"/>
                      <w:lang w:bidi="ar"/>
                    </w:rPr>
                  </w:pPr>
                  <w:r>
                    <w:rPr>
                      <w:kern w:val="0"/>
                      <w:sz w:val="21"/>
                      <w:szCs w:val="21"/>
                      <w:lang w:bidi="ar"/>
                    </w:rPr>
                    <w:t>3-1~3-6 本项目为</w:t>
                  </w:r>
                  <w:r>
                    <w:rPr>
                      <w:rFonts w:hint="eastAsia"/>
                      <w:kern w:val="0"/>
                      <w:sz w:val="21"/>
                      <w:szCs w:val="21"/>
                      <w:lang w:val="en-US" w:eastAsia="zh-CN" w:bidi="ar"/>
                    </w:rPr>
                    <w:t>化工助剂生产</w:t>
                  </w:r>
                  <w:r>
                    <w:rPr>
                      <w:kern w:val="0"/>
                      <w:sz w:val="21"/>
                      <w:szCs w:val="21"/>
                      <w:lang w:bidi="ar"/>
                    </w:rPr>
                    <w:t>项目，位于</w:t>
                  </w:r>
                  <w:r>
                    <w:rPr>
                      <w:rFonts w:hint="eastAsia"/>
                      <w:kern w:val="0"/>
                      <w:sz w:val="21"/>
                      <w:szCs w:val="21"/>
                      <w:lang w:val="en-US" w:eastAsia="zh-CN" w:bidi="ar"/>
                    </w:rPr>
                    <w:t>潮阳区</w:t>
                  </w:r>
                  <w:r>
                    <w:rPr>
                      <w:kern w:val="0"/>
                      <w:sz w:val="21"/>
                      <w:szCs w:val="21"/>
                      <w:lang w:bidi="ar"/>
                    </w:rPr>
                    <w:t>污水处理厂的纳污范围，项目废水经处理达标后排入</w:t>
                  </w:r>
                  <w:r>
                    <w:rPr>
                      <w:rFonts w:hint="eastAsia"/>
                      <w:kern w:val="0"/>
                      <w:sz w:val="21"/>
                      <w:szCs w:val="21"/>
                      <w:lang w:val="en-US" w:eastAsia="zh-CN" w:bidi="ar"/>
                    </w:rPr>
                    <w:t>潮阳区</w:t>
                  </w:r>
                  <w:r>
                    <w:rPr>
                      <w:kern w:val="0"/>
                      <w:sz w:val="21"/>
                      <w:szCs w:val="21"/>
                      <w:lang w:bidi="ar"/>
                    </w:rPr>
                    <w:t>污水厂进行深度处理。</w:t>
                  </w:r>
                </w:p>
                <w:p w14:paraId="0BA858B6">
                  <w:pPr>
                    <w:spacing w:line="240" w:lineRule="auto"/>
                    <w:ind w:firstLine="0" w:firstLineChars="0"/>
                    <w:rPr>
                      <w:kern w:val="0"/>
                      <w:sz w:val="21"/>
                      <w:szCs w:val="21"/>
                      <w:lang w:bidi="ar"/>
                    </w:rPr>
                  </w:pPr>
                  <w:r>
                    <w:rPr>
                      <w:kern w:val="0"/>
                      <w:sz w:val="21"/>
                      <w:szCs w:val="21"/>
                      <w:lang w:bidi="ar"/>
                    </w:rPr>
                    <w:t>3-7 本项目</w:t>
                  </w:r>
                  <w:r>
                    <w:rPr>
                      <w:rFonts w:hint="eastAsia"/>
                      <w:kern w:val="0"/>
                      <w:sz w:val="21"/>
                      <w:szCs w:val="21"/>
                      <w:lang w:val="en-US" w:eastAsia="zh-CN" w:bidi="ar"/>
                    </w:rPr>
                    <w:t>生产过程</w:t>
                  </w:r>
                  <w:r>
                    <w:rPr>
                      <w:kern w:val="0"/>
                      <w:sz w:val="21"/>
                      <w:szCs w:val="21"/>
                      <w:lang w:bidi="ar"/>
                    </w:rPr>
                    <w:t>不涉及</w:t>
                  </w:r>
                  <w:r>
                    <w:rPr>
                      <w:rFonts w:hint="eastAsia"/>
                      <w:kern w:val="0"/>
                      <w:sz w:val="21"/>
                      <w:szCs w:val="21"/>
                      <w:lang w:val="en-US" w:eastAsia="zh-CN" w:bidi="ar"/>
                    </w:rPr>
                    <w:t>使用</w:t>
                  </w:r>
                  <w:r>
                    <w:rPr>
                      <w:color w:val="000000"/>
                      <w:kern w:val="0"/>
                      <w:sz w:val="21"/>
                      <w:szCs w:val="21"/>
                      <w:lang w:bidi="ar"/>
                    </w:rPr>
                    <w:t>溶剂型油墨、涂料、清洗剂、胶粘剂等高挥发性有机物（VOCs）原辅材料</w:t>
                  </w:r>
                  <w:r>
                    <w:rPr>
                      <w:rFonts w:hint="eastAsia"/>
                      <w:kern w:val="0"/>
                      <w:sz w:val="21"/>
                      <w:szCs w:val="21"/>
                      <w:lang w:val="en-US" w:eastAsia="zh-CN" w:bidi="ar"/>
                    </w:rPr>
                    <w:t>，生产过程产生的少量有机废气收集后经“二级活性炭吸附装置”处理后达标排放</w:t>
                  </w:r>
                  <w:r>
                    <w:rPr>
                      <w:kern w:val="0"/>
                      <w:sz w:val="21"/>
                      <w:szCs w:val="21"/>
                      <w:lang w:bidi="ar"/>
                    </w:rPr>
                    <w:t>。</w:t>
                  </w:r>
                </w:p>
                <w:p w14:paraId="574DAF5A">
                  <w:pPr>
                    <w:spacing w:line="240" w:lineRule="auto"/>
                    <w:ind w:firstLine="0" w:firstLineChars="0"/>
                    <w:rPr>
                      <w:kern w:val="0"/>
                      <w:sz w:val="21"/>
                      <w:szCs w:val="21"/>
                      <w:lang w:bidi="ar"/>
                    </w:rPr>
                  </w:pPr>
                  <w:r>
                    <w:rPr>
                      <w:kern w:val="0"/>
                      <w:sz w:val="21"/>
                      <w:szCs w:val="21"/>
                      <w:lang w:bidi="ar"/>
                    </w:rPr>
                    <w:t>3-8~3-9 本项目属于</w:t>
                  </w:r>
                  <w:r>
                    <w:rPr>
                      <w:rFonts w:hint="eastAsia"/>
                      <w:kern w:val="0"/>
                      <w:sz w:val="21"/>
                      <w:szCs w:val="21"/>
                      <w:lang w:val="en-US" w:eastAsia="zh-CN" w:bidi="ar"/>
                    </w:rPr>
                    <w:t>化工助剂生产</w:t>
                  </w:r>
                  <w:r>
                    <w:rPr>
                      <w:kern w:val="0"/>
                      <w:sz w:val="21"/>
                      <w:szCs w:val="21"/>
                      <w:lang w:bidi="ar"/>
                    </w:rPr>
                    <w:t>，项目建设、营运期间不涉及重金属污染物和持久性有机污染物的产生、使用和排放，不会对土壤造成污染。</w:t>
                  </w:r>
                </w:p>
                <w:p w14:paraId="7D555425">
                  <w:pPr>
                    <w:spacing w:line="240" w:lineRule="auto"/>
                    <w:ind w:firstLine="0" w:firstLineChars="0"/>
                    <w:rPr>
                      <w:kern w:val="0"/>
                      <w:sz w:val="21"/>
                      <w:szCs w:val="21"/>
                      <w:lang w:bidi="ar"/>
                    </w:rPr>
                  </w:pPr>
                  <w:r>
                    <w:rPr>
                      <w:kern w:val="0"/>
                      <w:sz w:val="21"/>
                      <w:szCs w:val="21"/>
                      <w:lang w:bidi="ar"/>
                    </w:rPr>
                    <w:t>3-10 本项目产生的固体废物为生活垃圾、</w:t>
                  </w:r>
                  <w:r>
                    <w:rPr>
                      <w:rFonts w:hint="eastAsia"/>
                      <w:kern w:val="0"/>
                      <w:sz w:val="21"/>
                      <w:szCs w:val="21"/>
                      <w:lang w:val="en-US" w:eastAsia="zh-CN" w:bidi="ar"/>
                    </w:rPr>
                    <w:t>废包装袋和废包装桶、废机油</w:t>
                  </w:r>
                  <w:r>
                    <w:rPr>
                      <w:kern w:val="0"/>
                      <w:sz w:val="21"/>
                      <w:szCs w:val="21"/>
                      <w:lang w:bidi="ar"/>
                    </w:rPr>
                    <w:t>、废</w:t>
                  </w:r>
                  <w:r>
                    <w:rPr>
                      <w:rFonts w:hint="eastAsia"/>
                      <w:kern w:val="0"/>
                      <w:sz w:val="21"/>
                      <w:szCs w:val="21"/>
                      <w:lang w:val="en-US" w:eastAsia="zh-CN" w:bidi="ar"/>
                    </w:rPr>
                    <w:t>机油桶</w:t>
                  </w:r>
                  <w:r>
                    <w:rPr>
                      <w:kern w:val="0"/>
                      <w:sz w:val="21"/>
                      <w:szCs w:val="21"/>
                      <w:lang w:bidi="ar"/>
                    </w:rPr>
                    <w:t>、</w:t>
                  </w:r>
                  <w:r>
                    <w:rPr>
                      <w:rFonts w:hint="eastAsia"/>
                      <w:kern w:val="0"/>
                      <w:sz w:val="21"/>
                      <w:szCs w:val="21"/>
                      <w:lang w:val="en-US" w:eastAsia="zh-CN" w:bidi="ar"/>
                    </w:rPr>
                    <w:t>废活性炭</w:t>
                  </w:r>
                  <w:r>
                    <w:rPr>
                      <w:kern w:val="0"/>
                      <w:sz w:val="21"/>
                      <w:szCs w:val="21"/>
                      <w:lang w:bidi="ar"/>
                    </w:rPr>
                    <w:t>等。规范设置一般固废暂存间、危险废物贮存间。其中生活垃圾经收集后交由环卫等相关部门处理；</w:t>
                  </w:r>
                  <w:r>
                    <w:rPr>
                      <w:rFonts w:hint="eastAsia"/>
                      <w:kern w:val="0"/>
                      <w:sz w:val="21"/>
                      <w:szCs w:val="21"/>
                      <w:lang w:val="en-US" w:eastAsia="zh-CN" w:bidi="ar"/>
                    </w:rPr>
                    <w:t>废包装袋和废包装桶收集后出售给物资回收单位回收利用，集尘收集后回用于生产</w:t>
                  </w:r>
                  <w:r>
                    <w:rPr>
                      <w:kern w:val="0"/>
                      <w:sz w:val="21"/>
                      <w:szCs w:val="21"/>
                      <w:lang w:bidi="ar"/>
                    </w:rPr>
                    <w:t>；废紫外线灯管</w:t>
                  </w:r>
                  <w:r>
                    <w:rPr>
                      <w:rFonts w:hint="eastAsia"/>
                      <w:kern w:val="0"/>
                      <w:sz w:val="21"/>
                      <w:szCs w:val="21"/>
                      <w:lang w:val="en-US" w:eastAsia="zh-CN" w:bidi="ar"/>
                    </w:rPr>
                    <w:t>等危险废物</w:t>
                  </w:r>
                  <w:r>
                    <w:rPr>
                      <w:kern w:val="0"/>
                      <w:sz w:val="21"/>
                      <w:szCs w:val="21"/>
                      <w:lang w:bidi="ar"/>
                    </w:rPr>
                    <w:t>暂存危险废物间后委托有资质的单位处置。贮存、转移过程中配套防扬散、防流失、防渗漏及其它防止污染环境的措施。</w:t>
                  </w:r>
                </w:p>
              </w:tc>
            </w:tr>
            <w:tr w14:paraId="1632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single" w:color="auto" w:sz="4" w:space="0"/>
                    <w:left w:val="single" w:color="auto" w:sz="4" w:space="0"/>
                    <w:bottom w:val="single" w:color="auto" w:sz="4" w:space="0"/>
                    <w:right w:val="single" w:color="auto" w:sz="4" w:space="0"/>
                  </w:tcBorders>
                  <w:vAlign w:val="center"/>
                </w:tcPr>
                <w:p w14:paraId="50EAA154">
                  <w:pPr>
                    <w:widowControl/>
                    <w:spacing w:line="240" w:lineRule="auto"/>
                    <w:ind w:firstLine="0" w:firstLineChars="0"/>
                    <w:jc w:val="center"/>
                    <w:rPr>
                      <w:kern w:val="0"/>
                      <w:sz w:val="21"/>
                      <w:szCs w:val="21"/>
                    </w:rPr>
                  </w:pPr>
                  <w:r>
                    <w:rPr>
                      <w:kern w:val="0"/>
                      <w:sz w:val="21"/>
                      <w:szCs w:val="21"/>
                    </w:rPr>
                    <w:t>环境风险防控</w:t>
                  </w:r>
                </w:p>
              </w:tc>
              <w:tc>
                <w:tcPr>
                  <w:tcW w:w="2805" w:type="pct"/>
                  <w:gridSpan w:val="3"/>
                  <w:tcBorders>
                    <w:top w:val="single" w:color="auto" w:sz="4" w:space="0"/>
                    <w:left w:val="single" w:color="auto" w:sz="4" w:space="0"/>
                    <w:bottom w:val="single" w:color="auto" w:sz="4" w:space="0"/>
                    <w:right w:val="single" w:color="auto" w:sz="4" w:space="0"/>
                  </w:tcBorders>
                  <w:vAlign w:val="center"/>
                </w:tcPr>
                <w:p w14:paraId="56AEAE58">
                  <w:pPr>
                    <w:spacing w:line="240" w:lineRule="auto"/>
                    <w:ind w:firstLine="0" w:firstLineChars="0"/>
                    <w:rPr>
                      <w:color w:val="000000"/>
                      <w:kern w:val="0"/>
                      <w:sz w:val="21"/>
                      <w:szCs w:val="21"/>
                      <w:lang w:bidi="ar"/>
                    </w:rPr>
                  </w:pPr>
                  <w:r>
                    <w:rPr>
                      <w:color w:val="000000"/>
                      <w:kern w:val="0"/>
                      <w:sz w:val="21"/>
                      <w:szCs w:val="21"/>
                      <w:lang w:bidi="ar"/>
                    </w:rPr>
                    <w:t>4-1.</w:t>
                  </w:r>
                  <w:r>
                    <w:rPr>
                      <w:kern w:val="0"/>
                      <w:sz w:val="21"/>
                      <w:szCs w:val="21"/>
                      <w:lang w:bidi="ar"/>
                    </w:rPr>
                    <w:t>【水/综合类】污水处理厂</w:t>
                  </w:r>
                  <w:r>
                    <w:rPr>
                      <w:color w:val="000000"/>
                      <w:kern w:val="0"/>
                      <w:sz w:val="21"/>
                      <w:szCs w:val="21"/>
                      <w:lang w:bidi="ar"/>
                    </w:rPr>
                    <w:t>应采取有效措施，防止事故废水直接排入水体，完善污水处理厂在线监控系统联网，实现污水处理厂的实时、动态监管。</w:t>
                  </w:r>
                </w:p>
                <w:p w14:paraId="3F73FA95">
                  <w:pPr>
                    <w:spacing w:line="240" w:lineRule="auto"/>
                    <w:ind w:firstLine="0" w:firstLineChars="0"/>
                    <w:rPr>
                      <w:color w:val="000000"/>
                      <w:kern w:val="0"/>
                      <w:sz w:val="21"/>
                      <w:szCs w:val="21"/>
                    </w:rPr>
                  </w:pPr>
                  <w:r>
                    <w:rPr>
                      <w:color w:val="000000"/>
                      <w:kern w:val="0"/>
                      <w:sz w:val="21"/>
                      <w:szCs w:val="21"/>
                      <w:lang w:bidi="ar"/>
                    </w:rPr>
                    <w:t>4-2.【风险/综合类】纳入《突发环境事件应急预案备案行业名录（指导性意见）》管理的工业企业要编制环境风险应急预案并备案，防止因渗漏污染地下水、土壤，以及因事故废水直排污染地表水体。</w:t>
                  </w:r>
                </w:p>
              </w:tc>
              <w:tc>
                <w:tcPr>
                  <w:tcW w:w="1515" w:type="pct"/>
                  <w:tcBorders>
                    <w:top w:val="single" w:color="auto" w:sz="4" w:space="0"/>
                    <w:left w:val="single" w:color="auto" w:sz="4" w:space="0"/>
                    <w:bottom w:val="single" w:color="auto" w:sz="4" w:space="0"/>
                    <w:right w:val="single" w:color="auto" w:sz="4" w:space="0"/>
                  </w:tcBorders>
                  <w:vAlign w:val="center"/>
                </w:tcPr>
                <w:p w14:paraId="56BDB906">
                  <w:pPr>
                    <w:spacing w:line="240" w:lineRule="auto"/>
                    <w:ind w:firstLine="0" w:firstLineChars="0"/>
                    <w:rPr>
                      <w:rFonts w:hint="eastAsia"/>
                      <w:color w:val="000000"/>
                      <w:kern w:val="0"/>
                      <w:sz w:val="21"/>
                      <w:szCs w:val="21"/>
                      <w:lang w:bidi="ar"/>
                    </w:rPr>
                  </w:pPr>
                  <w:r>
                    <w:rPr>
                      <w:rFonts w:hint="eastAsia"/>
                      <w:color w:val="000000"/>
                      <w:kern w:val="0"/>
                      <w:sz w:val="21"/>
                      <w:szCs w:val="21"/>
                      <w:lang w:bidi="ar"/>
                    </w:rPr>
                    <w:t>本项目不属于污水处理厂；建设单位需根据相关管理需要和要求编制环境风险应急预案并备</w:t>
                  </w:r>
                </w:p>
                <w:p w14:paraId="1114A322">
                  <w:pPr>
                    <w:spacing w:line="240" w:lineRule="auto"/>
                    <w:ind w:firstLine="0" w:firstLineChars="0"/>
                    <w:rPr>
                      <w:color w:val="000000"/>
                      <w:kern w:val="0"/>
                      <w:sz w:val="21"/>
                      <w:szCs w:val="21"/>
                      <w:lang w:bidi="ar"/>
                    </w:rPr>
                  </w:pPr>
                  <w:r>
                    <w:rPr>
                      <w:rFonts w:hint="eastAsia"/>
                      <w:color w:val="000000"/>
                      <w:kern w:val="0"/>
                      <w:sz w:val="21"/>
                      <w:szCs w:val="21"/>
                      <w:lang w:bidi="ar"/>
                    </w:rPr>
                    <w:t>案，实施有效的事故风险防范和应急措施。</w:t>
                  </w:r>
                </w:p>
              </w:tc>
            </w:tr>
          </w:tbl>
          <w:p w14:paraId="7DD889F1">
            <w:pPr>
              <w:spacing w:line="240" w:lineRule="auto"/>
              <w:ind w:firstLine="0" w:firstLineChars="0"/>
              <w:jc w:val="center"/>
              <w:rPr>
                <w:b/>
                <w:bCs/>
                <w:szCs w:val="21"/>
              </w:rPr>
            </w:pPr>
          </w:p>
          <w:p w14:paraId="41E4111C">
            <w:pPr>
              <w:adjustRightInd w:val="0"/>
              <w:snapToGrid w:val="0"/>
              <w:spacing w:line="300" w:lineRule="auto"/>
              <w:ind w:firstLine="482"/>
              <w:rPr>
                <w:b/>
                <w:bCs/>
                <w:szCs w:val="32"/>
              </w:rPr>
            </w:pPr>
            <w:r>
              <w:rPr>
                <w:b/>
                <w:bCs/>
                <w:szCs w:val="32"/>
              </w:rPr>
              <w:t>2、与《汕头市生态环境保护“十四五”规划》的符合性</w:t>
            </w:r>
          </w:p>
          <w:p w14:paraId="553E2141">
            <w:pPr>
              <w:adjustRightInd w:val="0"/>
              <w:snapToGrid w:val="0"/>
              <w:spacing w:line="300" w:lineRule="auto"/>
              <w:ind w:firstLine="480"/>
              <w:rPr>
                <w:rFonts w:hint="eastAsia" w:eastAsia="宋体"/>
                <w:kern w:val="0"/>
                <w:szCs w:val="22"/>
                <w:lang w:eastAsia="zh-CN"/>
              </w:rPr>
            </w:pPr>
            <w:r>
              <w:rPr>
                <w:rFonts w:hint="eastAsia"/>
                <w:kern w:val="0"/>
                <w:szCs w:val="22"/>
                <w:lang w:val="en-US" w:eastAsia="zh-CN"/>
              </w:rPr>
              <w:t>根据规划：“...</w:t>
            </w:r>
            <w:r>
              <w:rPr>
                <w:rFonts w:hint="eastAsia"/>
                <w:kern w:val="0"/>
                <w:szCs w:val="22"/>
              </w:rPr>
              <w:t>推进生产过程绿色化，鼓励化工塑料、印刷包装等传统优势产业应用资源节约和替代技术等共性技术，减少生产全过程污染物的排放</w:t>
            </w:r>
            <w:r>
              <w:rPr>
                <w:rFonts w:hint="eastAsia"/>
                <w:kern w:val="0"/>
                <w:szCs w:val="22"/>
                <w:lang w:val="en-US" w:eastAsia="zh-CN"/>
              </w:rPr>
              <w:t>”，...</w:t>
            </w:r>
            <w:r>
              <w:rPr>
                <w:rFonts w:hint="eastAsia"/>
                <w:kern w:val="0"/>
                <w:szCs w:val="22"/>
              </w:rPr>
              <w:t>严格水资源管理。加强城镇节水重点抓好污水再生利用设施建设与改造，全面开展节水型机关单位、居民小区建设。促进再生水循环利用，提高再生水、雨水海水等非常规水源使用率</w:t>
            </w:r>
            <w:r>
              <w:rPr>
                <w:rFonts w:hint="eastAsia"/>
                <w:kern w:val="0"/>
                <w:szCs w:val="22"/>
                <w:lang w:val="en-US" w:eastAsia="zh-CN"/>
              </w:rPr>
              <w:t>...</w:t>
            </w:r>
            <w:r>
              <w:rPr>
                <w:rFonts w:hint="eastAsia"/>
                <w:kern w:val="0"/>
                <w:szCs w:val="22"/>
              </w:rPr>
              <w:t>大力推进挥发性有机物（VOCs）有效治理，大力推进低 VOCs 含量的 涂料、油墨等原辅材料源头替代，禁止建设生产和使用高VOCs 含量的溶剂型涂料，油墨等项目</w:t>
            </w:r>
            <w:r>
              <w:rPr>
                <w:rFonts w:hint="eastAsia"/>
                <w:kern w:val="0"/>
                <w:szCs w:val="22"/>
                <w:lang w:eastAsia="zh-CN"/>
              </w:rPr>
              <w:t>。</w:t>
            </w:r>
            <w:r>
              <w:rPr>
                <w:rFonts w:hint="eastAsia"/>
                <w:kern w:val="0"/>
                <w:szCs w:val="22"/>
                <w:lang w:val="en-US" w:eastAsia="zh-CN"/>
              </w:rPr>
              <w:t>...</w:t>
            </w:r>
            <w:r>
              <w:rPr>
                <w:rFonts w:hint="eastAsia"/>
                <w:kern w:val="0"/>
                <w:szCs w:val="22"/>
              </w:rPr>
              <w:t>强化固体废物源头减量和资源利用</w:t>
            </w:r>
            <w:r>
              <w:rPr>
                <w:rFonts w:hint="eastAsia"/>
                <w:kern w:val="0"/>
                <w:szCs w:val="22"/>
                <w:lang w:eastAsia="zh-CN"/>
              </w:rPr>
              <w:t>。”</w:t>
            </w:r>
          </w:p>
          <w:p w14:paraId="118B31A3">
            <w:pPr>
              <w:adjustRightInd w:val="0"/>
              <w:snapToGrid w:val="0"/>
              <w:spacing w:line="300" w:lineRule="auto"/>
              <w:ind w:firstLine="480"/>
              <w:rPr>
                <w:rFonts w:hint="eastAsia"/>
                <w:kern w:val="0"/>
                <w:szCs w:val="22"/>
              </w:rPr>
            </w:pPr>
            <w:r>
              <w:rPr>
                <w:rFonts w:hint="eastAsia"/>
                <w:kern w:val="0"/>
                <w:szCs w:val="22"/>
              </w:rPr>
              <w:t>本项目为</w:t>
            </w:r>
            <w:r>
              <w:rPr>
                <w:rFonts w:hint="eastAsia"/>
                <w:kern w:val="0"/>
                <w:szCs w:val="22"/>
                <w:lang w:val="en-US" w:eastAsia="zh-CN"/>
              </w:rPr>
              <w:t>化工助剂生产项目</w:t>
            </w:r>
            <w:r>
              <w:rPr>
                <w:rFonts w:hint="eastAsia"/>
                <w:kern w:val="0"/>
                <w:szCs w:val="22"/>
              </w:rPr>
              <w:t>，原料主要为</w:t>
            </w:r>
            <w:r>
              <w:rPr>
                <w:rFonts w:hint="eastAsia"/>
                <w:kern w:val="0"/>
                <w:szCs w:val="22"/>
                <w:lang w:val="en-US" w:eastAsia="zh-CN"/>
              </w:rPr>
              <w:t>工业白油</w:t>
            </w:r>
            <w:r>
              <w:rPr>
                <w:rFonts w:hint="eastAsia"/>
                <w:kern w:val="0"/>
                <w:szCs w:val="22"/>
              </w:rPr>
              <w:t>、</w:t>
            </w:r>
            <w:r>
              <w:rPr>
                <w:rFonts w:hint="eastAsia"/>
                <w:kern w:val="0"/>
                <w:szCs w:val="22"/>
                <w:lang w:val="en-US" w:eastAsia="zh-CN"/>
              </w:rPr>
              <w:t>硅油、乳化剂</w:t>
            </w:r>
            <w:r>
              <w:rPr>
                <w:rFonts w:hint="eastAsia"/>
                <w:kern w:val="0"/>
                <w:szCs w:val="22"/>
              </w:rPr>
              <w:t>等，不属于生产和使用高 VOCs 含量的溶剂型涂料，油墨等项目。项目废气</w:t>
            </w:r>
            <w:r>
              <w:rPr>
                <w:rFonts w:hint="eastAsia"/>
                <w:kern w:val="0"/>
                <w:szCs w:val="22"/>
                <w:lang w:val="en-US" w:eastAsia="zh-CN"/>
              </w:rPr>
              <w:t>末端</w:t>
            </w:r>
            <w:r>
              <w:rPr>
                <w:rFonts w:hint="eastAsia"/>
                <w:kern w:val="0"/>
                <w:szCs w:val="22"/>
              </w:rPr>
              <w:t>配套废气净化设施对废气进行处理，大量减少了污染物的排放。项目不产生工业废水，生活污水由化粪池处理后排入市政污水管网，然后进入潮阳区污水处理厂处理。一般工业固废由物质公司回收利用</w:t>
            </w:r>
            <w:r>
              <w:rPr>
                <w:rFonts w:hint="eastAsia"/>
                <w:kern w:val="0"/>
                <w:szCs w:val="22"/>
                <w:lang w:val="en-US" w:eastAsia="zh-CN"/>
              </w:rPr>
              <w:t>或回用生产</w:t>
            </w:r>
            <w:r>
              <w:rPr>
                <w:rFonts w:hint="eastAsia"/>
                <w:kern w:val="0"/>
                <w:szCs w:val="22"/>
              </w:rPr>
              <w:t>，危险废物暂存危废间，委托有资质的单位处置。</w:t>
            </w:r>
          </w:p>
          <w:p w14:paraId="6903F059">
            <w:pPr>
              <w:adjustRightInd w:val="0"/>
              <w:snapToGrid w:val="0"/>
              <w:spacing w:line="300" w:lineRule="auto"/>
              <w:ind w:firstLine="482"/>
              <w:rPr>
                <w:b/>
                <w:bCs/>
                <w:szCs w:val="32"/>
              </w:rPr>
            </w:pPr>
            <w:r>
              <w:rPr>
                <w:b/>
                <w:bCs/>
                <w:szCs w:val="32"/>
              </w:rPr>
              <w:t>3、与产业政策符合性分析</w:t>
            </w:r>
          </w:p>
          <w:p w14:paraId="7658ED1D">
            <w:pPr>
              <w:adjustRightInd w:val="0"/>
              <w:snapToGrid w:val="0"/>
              <w:spacing w:line="300" w:lineRule="auto"/>
              <w:ind w:firstLine="482"/>
              <w:rPr>
                <w:b/>
                <w:bCs/>
                <w:szCs w:val="32"/>
              </w:rPr>
            </w:pPr>
            <w:r>
              <w:rPr>
                <w:b/>
                <w:bCs/>
                <w:szCs w:val="32"/>
              </w:rPr>
              <w:t>3.1与国家产业政策符合性分析</w:t>
            </w:r>
          </w:p>
          <w:p w14:paraId="43E8EA43">
            <w:pPr>
              <w:adjustRightInd w:val="0"/>
              <w:snapToGrid w:val="0"/>
              <w:spacing w:line="300" w:lineRule="auto"/>
              <w:ind w:firstLine="480"/>
              <w:rPr>
                <w:kern w:val="0"/>
                <w:szCs w:val="22"/>
              </w:rPr>
            </w:pPr>
            <w:r>
              <w:rPr>
                <w:rFonts w:hint="eastAsia"/>
                <w:kern w:val="0"/>
                <w:szCs w:val="22"/>
              </w:rPr>
              <w:t>根据《产业结构调整指导目录》（2024 年本），本项目不属于《产业结构调整指导目录》中鼓励类、限制类和淘汰类项目，属于允许建设项目。根据 《市场准入负面清单（2022 年）》（发改体改规〔2022〕397 号），本项目不在“市场准入负面清单 ”</w:t>
            </w:r>
          </w:p>
          <w:p w14:paraId="7CB60312">
            <w:pPr>
              <w:adjustRightInd w:val="0"/>
              <w:snapToGrid w:val="0"/>
              <w:spacing w:line="300" w:lineRule="auto"/>
              <w:ind w:firstLine="482"/>
              <w:rPr>
                <w:b/>
                <w:bCs/>
                <w:szCs w:val="32"/>
              </w:rPr>
            </w:pPr>
            <w:r>
              <w:rPr>
                <w:b/>
                <w:bCs/>
                <w:szCs w:val="32"/>
              </w:rPr>
              <w:t>3.2与汕头市产业政策符合性分析</w:t>
            </w:r>
          </w:p>
          <w:p w14:paraId="5AB5269A">
            <w:pPr>
              <w:adjustRightInd w:val="0"/>
              <w:snapToGrid w:val="0"/>
              <w:spacing w:line="300" w:lineRule="auto"/>
              <w:ind w:firstLine="480"/>
              <w:rPr>
                <w:kern w:val="0"/>
                <w:szCs w:val="22"/>
              </w:rPr>
            </w:pPr>
            <w:r>
              <w:rPr>
                <w:kern w:val="0"/>
                <w:szCs w:val="22"/>
              </w:rPr>
              <w:t>根据《汕头市产业发展指导目录（2022年本）》，</w:t>
            </w:r>
            <w:r>
              <w:rPr>
                <w:rFonts w:hint="eastAsia"/>
                <w:kern w:val="0"/>
                <w:szCs w:val="22"/>
                <w:lang w:val="en-US" w:eastAsia="zh-CN"/>
              </w:rPr>
              <w:t>本项目</w:t>
            </w:r>
            <w:r>
              <w:rPr>
                <w:kern w:val="0"/>
                <w:szCs w:val="22"/>
              </w:rPr>
              <w:t>不属于</w:t>
            </w:r>
            <w:r>
              <w:rPr>
                <w:rFonts w:hint="eastAsia"/>
                <w:kern w:val="0"/>
                <w:szCs w:val="22"/>
              </w:rPr>
              <w:t>培育类、鼓励类、限制类和淘汰类项目，属于允许建设项目。</w:t>
            </w:r>
          </w:p>
          <w:p w14:paraId="12C609D8">
            <w:pPr>
              <w:adjustRightInd w:val="0"/>
              <w:snapToGrid w:val="0"/>
              <w:spacing w:line="300" w:lineRule="auto"/>
              <w:ind w:firstLine="482"/>
              <w:rPr>
                <w:b/>
                <w:bCs/>
                <w:szCs w:val="32"/>
              </w:rPr>
            </w:pPr>
            <w:r>
              <w:rPr>
                <w:b/>
                <w:bCs/>
                <w:szCs w:val="32"/>
              </w:rPr>
              <w:t>4、选址合理性分析</w:t>
            </w:r>
          </w:p>
          <w:p w14:paraId="60743820">
            <w:pPr>
              <w:adjustRightInd w:val="0"/>
              <w:snapToGrid w:val="0"/>
              <w:spacing w:line="300" w:lineRule="auto"/>
              <w:ind w:firstLine="480"/>
              <w:rPr>
                <w:kern w:val="0"/>
                <w:szCs w:val="22"/>
              </w:rPr>
            </w:pPr>
            <w:r>
              <w:rPr>
                <w:kern w:val="0"/>
                <w:szCs w:val="22"/>
              </w:rPr>
              <w:t>根据《</w:t>
            </w:r>
            <w:r>
              <w:rPr>
                <w:rFonts w:hint="eastAsia"/>
                <w:kern w:val="0"/>
                <w:szCs w:val="22"/>
                <w:lang w:val="en-US" w:eastAsia="zh-CN"/>
              </w:rPr>
              <w:t>潮阳区</w:t>
            </w:r>
            <w:r>
              <w:rPr>
                <w:kern w:val="0"/>
                <w:szCs w:val="22"/>
              </w:rPr>
              <w:t>国土空间总体规划（2021-2035年）》，本项目所在地块属于</w:t>
            </w:r>
            <w:r>
              <w:rPr>
                <w:rFonts w:hint="eastAsia"/>
                <w:kern w:val="0"/>
                <w:szCs w:val="22"/>
                <w:lang w:val="en-US" w:eastAsia="zh-CN"/>
              </w:rPr>
              <w:t>村庄建设区</w:t>
            </w:r>
            <w:r>
              <w:rPr>
                <w:kern w:val="0"/>
                <w:szCs w:val="22"/>
              </w:rPr>
              <w:t>，不涉及耕地和永久基本农田保护红线，生态保护红线，符合国土空间总体规划。（见附图</w:t>
            </w:r>
            <w:r>
              <w:rPr>
                <w:rFonts w:hint="eastAsia"/>
                <w:kern w:val="0"/>
                <w:szCs w:val="22"/>
                <w:lang w:val="en-US" w:eastAsia="zh-CN"/>
              </w:rPr>
              <w:t>10</w:t>
            </w:r>
            <w:r>
              <w:rPr>
                <w:kern w:val="0"/>
                <w:szCs w:val="22"/>
              </w:rPr>
              <w:t>）</w:t>
            </w:r>
          </w:p>
          <w:p w14:paraId="58AC0896">
            <w:pPr>
              <w:adjustRightInd w:val="0"/>
              <w:snapToGrid w:val="0"/>
              <w:spacing w:line="300" w:lineRule="auto"/>
              <w:ind w:firstLine="480"/>
              <w:rPr>
                <w:color w:val="FF0000"/>
                <w:kern w:val="0"/>
                <w:szCs w:val="22"/>
              </w:rPr>
            </w:pPr>
            <w:r>
              <w:rPr>
                <w:kern w:val="0"/>
                <w:szCs w:val="22"/>
              </w:rPr>
              <w:t>根据《</w:t>
            </w:r>
            <w:r>
              <w:rPr>
                <w:rFonts w:hint="eastAsia"/>
                <w:kern w:val="0"/>
                <w:szCs w:val="22"/>
                <w:lang w:val="en-US" w:eastAsia="zh-CN"/>
              </w:rPr>
              <w:t>潮阳区</w:t>
            </w:r>
            <w:r>
              <w:rPr>
                <w:kern w:val="0"/>
                <w:szCs w:val="22"/>
              </w:rPr>
              <w:t>国土空间总体规划（2021-2035年）》及相关租赁合同、土地证等资料，本项目所在地块用地属于工业</w:t>
            </w:r>
            <w:r>
              <w:rPr>
                <w:rFonts w:hint="eastAsia"/>
                <w:kern w:val="0"/>
                <w:szCs w:val="22"/>
                <w:lang w:val="en-US" w:eastAsia="zh-CN"/>
              </w:rPr>
              <w:t>村庄建设区，建筑用途为工业厂房</w:t>
            </w:r>
            <w:r>
              <w:rPr>
                <w:kern w:val="0"/>
                <w:szCs w:val="22"/>
              </w:rPr>
              <w:t>（见附图</w:t>
            </w:r>
            <w:r>
              <w:rPr>
                <w:rFonts w:hint="eastAsia"/>
                <w:kern w:val="0"/>
                <w:szCs w:val="22"/>
                <w:lang w:val="en-US" w:eastAsia="zh-CN"/>
              </w:rPr>
              <w:t>10</w:t>
            </w:r>
            <w:r>
              <w:rPr>
                <w:kern w:val="0"/>
                <w:szCs w:val="22"/>
              </w:rPr>
              <w:t>、附件四），</w:t>
            </w:r>
            <w:r>
              <w:rPr>
                <w:rFonts w:hint="eastAsia"/>
                <w:kern w:val="0"/>
                <w:szCs w:val="22"/>
              </w:rPr>
              <w:t>因此，本项目选址符合《</w:t>
            </w:r>
            <w:r>
              <w:rPr>
                <w:rFonts w:hint="eastAsia"/>
                <w:kern w:val="0"/>
                <w:szCs w:val="22"/>
                <w:lang w:val="en-US" w:eastAsia="zh-CN"/>
              </w:rPr>
              <w:t>潮阳区</w:t>
            </w:r>
            <w:r>
              <w:rPr>
                <w:rFonts w:hint="eastAsia"/>
                <w:kern w:val="0"/>
                <w:szCs w:val="22"/>
              </w:rPr>
              <w:t>国土空间总体规划》（2021-2035）的要求，选址合理。</w:t>
            </w:r>
          </w:p>
          <w:p w14:paraId="22F92C7B">
            <w:pPr>
              <w:pStyle w:val="112"/>
              <w:spacing w:before="111" w:line="219" w:lineRule="auto"/>
              <w:ind w:left="114"/>
              <w:outlineLvl w:val="1"/>
              <w:rPr>
                <w:sz w:val="24"/>
                <w:szCs w:val="24"/>
              </w:rPr>
            </w:pPr>
            <w:r>
              <w:rPr>
                <w:rFonts w:hint="eastAsia" w:ascii="Times New Roman" w:hAnsi="Times New Roman" w:eastAsia="宋体" w:cs="Times New Roman"/>
                <w:b/>
                <w:bCs/>
                <w:spacing w:val="-2"/>
                <w:sz w:val="24"/>
                <w:szCs w:val="24"/>
                <w:lang w:val="en-US" w:eastAsia="zh-CN"/>
              </w:rPr>
              <w:t>5、</w:t>
            </w:r>
            <w:r>
              <w:rPr>
                <w:b/>
                <w:bCs/>
                <w:spacing w:val="-2"/>
                <w:sz w:val="24"/>
                <w:szCs w:val="24"/>
              </w:rPr>
              <w:t>与《广东省涉挥发性有机物（</w:t>
            </w:r>
            <w:r>
              <w:rPr>
                <w:rFonts w:ascii="Times New Roman" w:hAnsi="Times New Roman" w:eastAsia="Times New Roman" w:cs="Times New Roman"/>
                <w:b/>
                <w:bCs/>
                <w:spacing w:val="-2"/>
                <w:sz w:val="24"/>
                <w:szCs w:val="24"/>
              </w:rPr>
              <w:t>VOCs</w:t>
            </w:r>
            <w:r>
              <w:rPr>
                <w:b/>
                <w:bCs/>
                <w:spacing w:val="-2"/>
                <w:sz w:val="24"/>
                <w:szCs w:val="24"/>
              </w:rPr>
              <w:t>）重点行业治理指引》的符合性分析</w:t>
            </w:r>
          </w:p>
          <w:p w14:paraId="392F1490">
            <w:pPr>
              <w:adjustRightInd w:val="0"/>
              <w:snapToGrid w:val="0"/>
              <w:spacing w:line="300" w:lineRule="auto"/>
              <w:ind w:left="0" w:leftChars="0" w:firstLine="0" w:firstLineChars="0"/>
              <w:jc w:val="center"/>
              <w:rPr>
                <w:b/>
                <w:bCs/>
                <w:sz w:val="21"/>
                <w:szCs w:val="21"/>
              </w:rPr>
            </w:pPr>
            <w:r>
              <w:rPr>
                <w:rFonts w:hint="eastAsia"/>
                <w:b/>
                <w:bCs/>
                <w:sz w:val="21"/>
                <w:szCs w:val="21"/>
              </w:rPr>
              <w:t>表</w:t>
            </w:r>
            <w:r>
              <w:rPr>
                <w:rFonts w:hint="eastAsia"/>
                <w:b/>
                <w:bCs/>
                <w:sz w:val="21"/>
                <w:szCs w:val="21"/>
                <w:lang w:val="en-US" w:eastAsia="zh-CN"/>
              </w:rPr>
              <w:t xml:space="preserve">1-2 </w:t>
            </w:r>
            <w:r>
              <w:rPr>
                <w:b/>
                <w:bCs/>
                <w:spacing w:val="-2"/>
                <w:sz w:val="21"/>
                <w:szCs w:val="21"/>
              </w:rPr>
              <w:t>与《广东省涉挥发性有机物（</w:t>
            </w:r>
            <w:r>
              <w:rPr>
                <w:rFonts w:ascii="Times New Roman" w:hAnsi="Times New Roman" w:eastAsia="Times New Roman" w:cs="Times New Roman"/>
                <w:b/>
                <w:bCs/>
                <w:spacing w:val="-2"/>
                <w:sz w:val="21"/>
                <w:szCs w:val="21"/>
              </w:rPr>
              <w:t>VOCs</w:t>
            </w:r>
            <w:r>
              <w:rPr>
                <w:b/>
                <w:bCs/>
                <w:spacing w:val="-2"/>
                <w:sz w:val="21"/>
                <w:szCs w:val="21"/>
              </w:rPr>
              <w:t>）重点行业治理指引》</w:t>
            </w:r>
            <w:r>
              <w:rPr>
                <w:rFonts w:hint="eastAsia"/>
                <w:b/>
                <w:bCs/>
                <w:sz w:val="21"/>
                <w:szCs w:val="21"/>
              </w:rPr>
              <w:t>相符性对比表</w:t>
            </w:r>
          </w:p>
          <w:tbl>
            <w:tblPr>
              <w:tblStyle w:val="31"/>
              <w:tblW w:w="7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817"/>
              <w:gridCol w:w="4850"/>
              <w:gridCol w:w="650"/>
              <w:gridCol w:w="1020"/>
            </w:tblGrid>
            <w:tr w14:paraId="77AD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7838" w:type="dxa"/>
                  <w:gridSpan w:val="5"/>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6617BB7">
                  <w:pPr>
                    <w:widowControl/>
                    <w:spacing w:line="240" w:lineRule="auto"/>
                    <w:ind w:firstLine="0" w:firstLineChars="0"/>
                    <w:jc w:val="center"/>
                    <w:rPr>
                      <w:rFonts w:hint="eastAsia" w:ascii="Times New Roman" w:hAnsi="Times New Roman" w:eastAsia="宋体" w:cs="Times New Roman"/>
                      <w:b/>
                      <w:bCs/>
                      <w:kern w:val="0"/>
                      <w:sz w:val="21"/>
                      <w:szCs w:val="21"/>
                      <w:lang w:val="en-US" w:eastAsia="zh-CN"/>
                    </w:rPr>
                  </w:pPr>
                  <w:r>
                    <w:rPr>
                      <w:rFonts w:hint="eastAsia" w:ascii="Times New Roman" w:hAnsi="Times New Roman" w:eastAsia="宋体" w:cs="Times New Roman"/>
                      <w:b/>
                      <w:bCs/>
                      <w:kern w:val="0"/>
                      <w:sz w:val="21"/>
                      <w:szCs w:val="21"/>
                      <w:lang w:val="en-US" w:eastAsia="zh-CN"/>
                    </w:rPr>
                    <w:t>化学原料和化学制品制造业VOCs治理指引</w:t>
                  </w:r>
                </w:p>
              </w:tc>
            </w:tr>
            <w:tr w14:paraId="42C3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C160">
                  <w:pPr>
                    <w:widowControl/>
                    <w:spacing w:line="240" w:lineRule="auto"/>
                    <w:ind w:firstLine="0" w:firstLineChars="0"/>
                    <w:jc w:val="center"/>
                    <w:rPr>
                      <w:rFonts w:hint="default"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lang w:val="en-US" w:eastAsia="zh-CN"/>
                    </w:rPr>
                    <w:t>序号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B27E">
                  <w:pPr>
                    <w:widowControl/>
                    <w:spacing w:line="240" w:lineRule="auto"/>
                    <w:ind w:firstLine="0" w:firstLineChars="0"/>
                    <w:jc w:val="center"/>
                    <w:rPr>
                      <w:rFonts w:hint="default"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lang w:val="en-US" w:eastAsia="zh-CN"/>
                    </w:rPr>
                    <w:t>环节</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95AB">
                  <w:pPr>
                    <w:widowControl/>
                    <w:spacing w:line="240" w:lineRule="auto"/>
                    <w:ind w:firstLine="0" w:firstLineChars="0"/>
                    <w:jc w:val="center"/>
                    <w:rPr>
                      <w:rFonts w:hint="default"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lang w:val="en-US" w:eastAsia="zh-CN"/>
                    </w:rPr>
                    <w:t>控制要求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5CC3">
                  <w:pPr>
                    <w:widowControl/>
                    <w:spacing w:line="240" w:lineRule="auto"/>
                    <w:ind w:firstLine="0" w:firstLineChars="0"/>
                    <w:jc w:val="center"/>
                    <w:rPr>
                      <w:rFonts w:hint="default"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lang w:val="en-US" w:eastAsia="zh-CN"/>
                    </w:rPr>
                    <w:t>实施要求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8812">
                  <w:pPr>
                    <w:widowControl/>
                    <w:spacing w:line="240" w:lineRule="auto"/>
                    <w:ind w:firstLine="0" w:firstLineChars="0"/>
                    <w:jc w:val="center"/>
                    <w:rPr>
                      <w:rFonts w:hint="default"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lang w:val="en-US" w:eastAsia="zh-CN"/>
                    </w:rPr>
                    <w:t>相符性分析</w:t>
                  </w:r>
                </w:p>
              </w:tc>
            </w:tr>
            <w:tr w14:paraId="44F9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38"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0952E682">
                  <w:pPr>
                    <w:widowControl/>
                    <w:spacing w:line="240" w:lineRule="auto"/>
                    <w:ind w:firstLine="0" w:firstLineChars="0"/>
                    <w:jc w:val="center"/>
                    <w:rPr>
                      <w:rFonts w:hint="default"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lang w:val="en-US" w:eastAsia="zh-CN"/>
                    </w:rPr>
                    <w:t>源头削减</w:t>
                  </w:r>
                </w:p>
              </w:tc>
            </w:tr>
            <w:tr w14:paraId="665C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C0AE">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A01B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产品</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0C5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研发和生产低</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含量涂料、油墨、胶粘剂等产品。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D7F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00B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48C5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957A">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93FD">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B11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农药行业采用非卤代烃和非芳香烃类溶剂，生产水基化类农药制剂。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DC1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70D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1358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9FF7">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D537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生产工艺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AB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农药行业采用水相法、生物酶法合成等技术。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05A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AFC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6A4A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19E6">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5AFDA">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8F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使用低（</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无）</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含量、低反应活性的原辅材料，对芳香烃、含卤素有机化合物的绿色替代。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A3D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64B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本项目使用的原辅料</w:t>
                  </w:r>
                  <w:r>
                    <w:rPr>
                      <w:rFonts w:hint="default" w:ascii="Times New Roman" w:hAnsi="Times New Roman" w:eastAsia="宋体" w:cs="Times New Roman"/>
                      <w:kern w:val="0"/>
                      <w:sz w:val="21"/>
                      <w:szCs w:val="21"/>
                      <w:lang w:val="en-US" w:eastAsia="zh-CN"/>
                    </w:rPr>
                    <w:t>VOCs</w:t>
                  </w:r>
                  <w:r>
                    <w:rPr>
                      <w:rFonts w:hint="eastAsia" w:ascii="Times New Roman" w:hAnsi="Times New Roman" w:eastAsia="宋体" w:cs="Times New Roman"/>
                      <w:kern w:val="0"/>
                      <w:sz w:val="21"/>
                      <w:szCs w:val="21"/>
                      <w:lang w:val="en-US" w:eastAsia="zh-CN"/>
                    </w:rPr>
                    <w:t>含量较低，且不含芳香烃、卤素有机化合物</w:t>
                  </w:r>
                </w:p>
              </w:tc>
            </w:tr>
            <w:tr w14:paraId="3BF2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E33B">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BA75">
                  <w:pPr>
                    <w:widowControl/>
                    <w:spacing w:line="240" w:lineRule="auto"/>
                    <w:ind w:firstLine="0" w:firstLineChars="0"/>
                    <w:jc w:val="both"/>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低（无）泄漏设备</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E3A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使用无泄漏、低泄漏的泵、压缩机、过滤机、离心机、干燥设备等。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383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2D1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本项目采用管道送料，送料本采用无泄漏送料泵</w:t>
                  </w:r>
                </w:p>
              </w:tc>
            </w:tr>
            <w:tr w14:paraId="352A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6722">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C47F">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循环冷却水</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773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采用密闭式循环水冷却系统。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5E0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D9B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62A9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38"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0004C1C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b/>
                      <w:bCs/>
                      <w:kern w:val="0"/>
                      <w:sz w:val="21"/>
                      <w:szCs w:val="21"/>
                      <w:lang w:val="en-US" w:eastAsia="zh-CN"/>
                    </w:rPr>
                    <w:t>过程控制</w:t>
                  </w:r>
                </w:p>
              </w:tc>
            </w:tr>
            <w:tr w14:paraId="0DE0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B0788">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7</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E868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储罐</w:t>
                  </w: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FECA5">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涂料、油墨及胶粘剂工业：储存真实蒸气压</w:t>
                  </w:r>
                  <w:r>
                    <w:rPr>
                      <w:rFonts w:hint="default" w:ascii="Times New Roman" w:hAnsi="Times New Roman" w:eastAsia="宋体" w:cs="Times New Roman"/>
                      <w:kern w:val="0"/>
                      <w:sz w:val="21"/>
                      <w:szCs w:val="21"/>
                      <w:lang w:val="en-US" w:eastAsia="zh-CN"/>
                    </w:rPr>
                    <w:t xml:space="preserve">≥76.6 kPa </w:t>
                  </w:r>
                  <w:r>
                    <w:rPr>
                      <w:rFonts w:hint="eastAsia" w:ascii="Times New Roman" w:hAnsi="Times New Roman" w:eastAsia="宋体" w:cs="Times New Roman"/>
                      <w:kern w:val="0"/>
                      <w:sz w:val="21"/>
                      <w:szCs w:val="21"/>
                      <w:lang w:val="en-US" w:eastAsia="zh-CN"/>
                    </w:rPr>
                    <w:t>的挥发性有机液体储罐，采用低</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压罐、压力罐或其他等效措施；储存真实蒸气压</w:t>
                  </w:r>
                  <w:r>
                    <w:rPr>
                      <w:rFonts w:hint="default" w:ascii="Times New Roman" w:hAnsi="Times New Roman" w:eastAsia="宋体" w:cs="Times New Roman"/>
                      <w:kern w:val="0"/>
                      <w:sz w:val="21"/>
                      <w:szCs w:val="21"/>
                      <w:lang w:val="en-US" w:eastAsia="zh-CN"/>
                    </w:rPr>
                    <w:t xml:space="preserve">≥10.3 kPa </w:t>
                  </w:r>
                  <w:r>
                    <w:rPr>
                      <w:rFonts w:hint="eastAsia" w:ascii="Times New Roman" w:hAnsi="Times New Roman" w:eastAsia="宋体" w:cs="Times New Roman"/>
                      <w:kern w:val="0"/>
                      <w:sz w:val="21"/>
                      <w:szCs w:val="21"/>
                      <w:lang w:val="en-US" w:eastAsia="zh-CN"/>
                    </w:rPr>
                    <w:t>但＜</w:t>
                  </w:r>
                  <w:r>
                    <w:rPr>
                      <w:rFonts w:hint="default" w:ascii="Times New Roman" w:hAnsi="Times New Roman" w:eastAsia="宋体" w:cs="Times New Roman"/>
                      <w:kern w:val="0"/>
                      <w:sz w:val="21"/>
                      <w:szCs w:val="21"/>
                      <w:lang w:val="en-US" w:eastAsia="zh-CN"/>
                    </w:rPr>
                    <w:t xml:space="preserve">76.6 kPa </w:t>
                  </w:r>
                  <w:r>
                    <w:rPr>
                      <w:rFonts w:hint="eastAsia" w:ascii="Times New Roman" w:hAnsi="Times New Roman" w:eastAsia="宋体" w:cs="Times New Roman"/>
                      <w:kern w:val="0"/>
                      <w:sz w:val="21"/>
                      <w:szCs w:val="21"/>
                      <w:lang w:val="en-US" w:eastAsia="zh-CN"/>
                    </w:rPr>
                    <w:t>且储罐容积</w:t>
                  </w:r>
                  <w:r>
                    <w:rPr>
                      <w:rFonts w:hint="default" w:ascii="Times New Roman" w:hAnsi="Times New Roman" w:eastAsia="宋体" w:cs="Times New Roman"/>
                      <w:kern w:val="0"/>
                      <w:sz w:val="21"/>
                      <w:szCs w:val="21"/>
                      <w:lang w:val="en-US" w:eastAsia="zh-CN"/>
                    </w:rPr>
                    <w:t xml:space="preserve">≥30 m3 </w:t>
                  </w:r>
                  <w:r>
                    <w:rPr>
                      <w:rFonts w:hint="eastAsia" w:ascii="Times New Roman" w:hAnsi="Times New Roman" w:eastAsia="宋体" w:cs="Times New Roman"/>
                      <w:kern w:val="0"/>
                      <w:sz w:val="21"/>
                      <w:szCs w:val="21"/>
                      <w:lang w:val="en-US" w:eastAsia="zh-CN"/>
                    </w:rPr>
                    <w:t>的挥发性有机液体储罐，应符合下列规定之一：</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）采用浮顶罐，对于内浮顶罐，浮顶与罐壁之间采用浸液式密封、机械式鞋形密封等</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高效密封方式；对于外浮顶罐，浮顶与罐壁之间采用双重密封，且一次密封采用浸液式密封、机械式鞋形密封等高效密封方式；</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）采用固定顶罐，排放的废气收集处理，达标排放，或者处理效率不低于</w:t>
                  </w:r>
                  <w:r>
                    <w:rPr>
                      <w:rFonts w:hint="default" w:ascii="Times New Roman" w:hAnsi="Times New Roman" w:eastAsia="宋体" w:cs="Times New Roman"/>
                      <w:kern w:val="0"/>
                      <w:sz w:val="21"/>
                      <w:szCs w:val="21"/>
                      <w:lang w:val="en-US" w:eastAsia="zh-CN"/>
                    </w:rPr>
                    <w:t xml:space="preserve"> 80%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）采用气相平衡系统。</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3291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E978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269F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7A193">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55FB">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C444">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49251">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52A5D">
                  <w:pPr>
                    <w:widowControl/>
                    <w:spacing w:line="240" w:lineRule="auto"/>
                    <w:ind w:firstLine="0" w:firstLineChars="0"/>
                    <w:jc w:val="center"/>
                    <w:rPr>
                      <w:rFonts w:hint="default" w:ascii="Times New Roman" w:hAnsi="Times New Roman" w:eastAsia="宋体" w:cs="Times New Roman"/>
                      <w:kern w:val="0"/>
                      <w:sz w:val="21"/>
                      <w:szCs w:val="21"/>
                    </w:rPr>
                  </w:pPr>
                </w:p>
              </w:tc>
            </w:tr>
            <w:tr w14:paraId="6422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3D75B">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EF36F">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11CF9">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0886C">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AEFC2">
                  <w:pPr>
                    <w:widowControl/>
                    <w:spacing w:line="240" w:lineRule="auto"/>
                    <w:ind w:firstLine="0" w:firstLineChars="0"/>
                    <w:jc w:val="center"/>
                    <w:rPr>
                      <w:rFonts w:hint="default" w:ascii="Times New Roman" w:hAnsi="Times New Roman" w:eastAsia="宋体" w:cs="Times New Roman"/>
                      <w:kern w:val="0"/>
                      <w:sz w:val="21"/>
                      <w:szCs w:val="21"/>
                    </w:rPr>
                  </w:pPr>
                </w:p>
              </w:tc>
            </w:tr>
            <w:tr w14:paraId="265D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0AAF4">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8B686">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1CC9A">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299CB">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054BD">
                  <w:pPr>
                    <w:widowControl/>
                    <w:spacing w:line="240" w:lineRule="auto"/>
                    <w:ind w:firstLine="0" w:firstLineChars="0"/>
                    <w:jc w:val="center"/>
                    <w:rPr>
                      <w:rFonts w:hint="default" w:ascii="Times New Roman" w:hAnsi="Times New Roman" w:eastAsia="宋体" w:cs="Times New Roman"/>
                      <w:kern w:val="0"/>
                      <w:sz w:val="21"/>
                      <w:szCs w:val="21"/>
                    </w:rPr>
                  </w:pPr>
                </w:p>
              </w:tc>
            </w:tr>
            <w:tr w14:paraId="387F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710F7">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8</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41251">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817D3">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其他化工行业：储存真实蒸气压</w:t>
                  </w:r>
                  <w:r>
                    <w:rPr>
                      <w:rFonts w:hint="default" w:ascii="Times New Roman" w:hAnsi="Times New Roman" w:eastAsia="宋体" w:cs="Times New Roman"/>
                      <w:kern w:val="0"/>
                      <w:sz w:val="21"/>
                      <w:szCs w:val="21"/>
                      <w:lang w:val="en-US" w:eastAsia="zh-CN"/>
                    </w:rPr>
                    <w:t xml:space="preserve">≥27.6 kPa </w:t>
                  </w:r>
                  <w:r>
                    <w:rPr>
                      <w:rFonts w:hint="eastAsia" w:ascii="Times New Roman" w:hAnsi="Times New Roman" w:eastAsia="宋体" w:cs="Times New Roman"/>
                      <w:kern w:val="0"/>
                      <w:sz w:val="21"/>
                      <w:szCs w:val="21"/>
                      <w:lang w:val="en-US" w:eastAsia="zh-CN"/>
                    </w:rPr>
                    <w:t>但＜</w:t>
                  </w:r>
                  <w:r>
                    <w:rPr>
                      <w:rFonts w:hint="default" w:ascii="Times New Roman" w:hAnsi="Times New Roman" w:eastAsia="宋体" w:cs="Times New Roman"/>
                      <w:kern w:val="0"/>
                      <w:sz w:val="21"/>
                      <w:szCs w:val="21"/>
                      <w:lang w:val="en-US" w:eastAsia="zh-CN"/>
                    </w:rPr>
                    <w:t xml:space="preserve">76.6 kPa </w:t>
                  </w:r>
                  <w:r>
                    <w:rPr>
                      <w:rFonts w:hint="eastAsia" w:ascii="Times New Roman" w:hAnsi="Times New Roman" w:eastAsia="宋体" w:cs="Times New Roman"/>
                      <w:kern w:val="0"/>
                      <w:sz w:val="21"/>
                      <w:szCs w:val="21"/>
                      <w:lang w:val="en-US" w:eastAsia="zh-CN"/>
                    </w:rPr>
                    <w:t>且储罐容积</w:t>
                  </w:r>
                  <w:r>
                    <w:rPr>
                      <w:rFonts w:hint="default" w:ascii="Times New Roman" w:hAnsi="Times New Roman" w:eastAsia="宋体" w:cs="Times New Roman"/>
                      <w:kern w:val="0"/>
                      <w:sz w:val="21"/>
                      <w:szCs w:val="21"/>
                      <w:lang w:val="en-US" w:eastAsia="zh-CN"/>
                    </w:rPr>
                    <w:t>≥75m3</w:t>
                  </w:r>
                  <w:r>
                    <w:rPr>
                      <w:rFonts w:hint="eastAsia" w:ascii="Times New Roman" w:hAnsi="Times New Roman" w:eastAsia="宋体" w:cs="Times New Roman"/>
                      <w:kern w:val="0"/>
                      <w:sz w:val="21"/>
                      <w:szCs w:val="21"/>
                      <w:lang w:val="en-US" w:eastAsia="zh-CN"/>
                    </w:rPr>
                    <w:t>的挥发性有机液体储罐，符合下列规定之一：</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）采用浮顶罐，对于内浮顶罐，浮顶与罐壁之间采用浸液式密封、机械式鞋形密封等高效密封方式；对于外浮顶罐，浮顶与罐壁之间采用双重密封，且一次密封采用浸液式密封、机械式鞋形密封等高效密封方式；</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）采用固定顶罐，排放的废气收集处理达标排放，或者处理效率不低于</w:t>
                  </w:r>
                  <w:r>
                    <w:rPr>
                      <w:rFonts w:hint="default" w:ascii="Times New Roman" w:hAnsi="Times New Roman" w:eastAsia="宋体" w:cs="Times New Roman"/>
                      <w:kern w:val="0"/>
                      <w:sz w:val="21"/>
                      <w:szCs w:val="21"/>
                      <w:lang w:val="en-US" w:eastAsia="zh-CN"/>
                    </w:rPr>
                    <w:t xml:space="preserve"> 80%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）采用气相平衡系统；</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d</w:t>
                  </w:r>
                  <w:r>
                    <w:rPr>
                      <w:rFonts w:hint="eastAsia" w:ascii="Times New Roman" w:hAnsi="Times New Roman" w:eastAsia="宋体" w:cs="Times New Roman"/>
                      <w:kern w:val="0"/>
                      <w:sz w:val="21"/>
                      <w:szCs w:val="21"/>
                      <w:lang w:val="en-US" w:eastAsia="zh-CN"/>
                    </w:rPr>
                    <w:t>）采用其他等效措施。</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04D5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B6AD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不涉及（工业白油储存真实蒸气压为</w:t>
                  </w:r>
                  <w:r>
                    <w:rPr>
                      <w:rFonts w:hint="default" w:ascii="Times New Roman" w:hAnsi="Times New Roman" w:eastAsia="宋体" w:cs="Times New Roman"/>
                      <w:kern w:val="0"/>
                      <w:sz w:val="21"/>
                      <w:szCs w:val="21"/>
                      <w:lang w:val="en-US" w:eastAsia="zh-CN"/>
                    </w:rPr>
                    <w:t>0.0001 hPa</w:t>
                  </w:r>
                  <w:r>
                    <w:rPr>
                      <w:rFonts w:hint="eastAsia" w:ascii="Times New Roman" w:hAnsi="Times New Roman" w:eastAsia="宋体" w:cs="Times New Roman"/>
                      <w:kern w:val="0"/>
                      <w:sz w:val="21"/>
                      <w:szCs w:val="21"/>
                      <w:lang w:val="en-US" w:eastAsia="zh-CN"/>
                    </w:rPr>
                    <w:t>，不容易挥发）</w:t>
                  </w:r>
                </w:p>
              </w:tc>
            </w:tr>
            <w:tr w14:paraId="4152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39009">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0466">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C769">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6F941">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3C715">
                  <w:pPr>
                    <w:widowControl/>
                    <w:spacing w:line="240" w:lineRule="auto"/>
                    <w:ind w:firstLine="0" w:firstLineChars="0"/>
                    <w:jc w:val="center"/>
                    <w:rPr>
                      <w:rFonts w:hint="default" w:ascii="Times New Roman" w:hAnsi="Times New Roman" w:eastAsia="宋体" w:cs="Times New Roman"/>
                      <w:kern w:val="0"/>
                      <w:sz w:val="21"/>
                      <w:szCs w:val="21"/>
                    </w:rPr>
                  </w:pPr>
                </w:p>
              </w:tc>
            </w:tr>
            <w:tr w14:paraId="5337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63B05">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AC6C2">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E180E">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CEB70">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9CF36">
                  <w:pPr>
                    <w:widowControl/>
                    <w:spacing w:line="240" w:lineRule="auto"/>
                    <w:ind w:firstLine="0" w:firstLineChars="0"/>
                    <w:jc w:val="center"/>
                    <w:rPr>
                      <w:rFonts w:hint="default" w:ascii="Times New Roman" w:hAnsi="Times New Roman" w:eastAsia="宋体" w:cs="Times New Roman"/>
                      <w:kern w:val="0"/>
                      <w:sz w:val="21"/>
                      <w:szCs w:val="21"/>
                    </w:rPr>
                  </w:pPr>
                </w:p>
              </w:tc>
            </w:tr>
            <w:tr w14:paraId="4494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1DB6">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F2DF">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67863">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42AFE">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DF7F3">
                  <w:pPr>
                    <w:widowControl/>
                    <w:spacing w:line="240" w:lineRule="auto"/>
                    <w:ind w:firstLine="0" w:firstLineChars="0"/>
                    <w:jc w:val="center"/>
                    <w:rPr>
                      <w:rFonts w:hint="default" w:ascii="Times New Roman" w:hAnsi="Times New Roman" w:eastAsia="宋体" w:cs="Times New Roman"/>
                      <w:kern w:val="0"/>
                      <w:sz w:val="21"/>
                      <w:szCs w:val="21"/>
                    </w:rPr>
                  </w:pPr>
                </w:p>
              </w:tc>
            </w:tr>
            <w:tr w14:paraId="5EE8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7E815">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C2E7D">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52BC4">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88F5C">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F6A04">
                  <w:pPr>
                    <w:widowControl/>
                    <w:spacing w:line="240" w:lineRule="auto"/>
                    <w:ind w:firstLine="0" w:firstLineChars="0"/>
                    <w:jc w:val="center"/>
                    <w:rPr>
                      <w:rFonts w:hint="default" w:ascii="Times New Roman" w:hAnsi="Times New Roman" w:eastAsia="宋体" w:cs="Times New Roman"/>
                      <w:kern w:val="0"/>
                      <w:sz w:val="21"/>
                      <w:szCs w:val="21"/>
                    </w:rPr>
                  </w:pPr>
                </w:p>
              </w:tc>
            </w:tr>
            <w:tr w14:paraId="7F63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28901">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9</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E2760">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0A4FA">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浮顶罐：</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）罐体应保持完好，不应有孔洞、缝隙，浮顶边缘密封不应有破损；</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）储罐附件开口（孔），除采样、计量、例行检查、维护和其他正常活动外，应密闭；</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）支柱、导向装置等储罐附件穿过浮顶时，采取密封措施；</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d</w:t>
                  </w:r>
                  <w:r>
                    <w:rPr>
                      <w:rFonts w:hint="eastAsia" w:ascii="Times New Roman" w:hAnsi="Times New Roman" w:eastAsia="宋体" w:cs="Times New Roman"/>
                      <w:kern w:val="0"/>
                      <w:sz w:val="21"/>
                      <w:szCs w:val="21"/>
                      <w:lang w:val="en-US" w:eastAsia="zh-CN"/>
                    </w:rPr>
                    <w:t>）除储罐排空作业外，浮顶始终漂浮于储存物料的表面；</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e</w:t>
                  </w:r>
                  <w:r>
                    <w:rPr>
                      <w:rFonts w:hint="eastAsia" w:ascii="Times New Roman" w:hAnsi="Times New Roman" w:eastAsia="宋体" w:cs="Times New Roman"/>
                      <w:kern w:val="0"/>
                      <w:sz w:val="21"/>
                      <w:szCs w:val="21"/>
                      <w:lang w:val="en-US" w:eastAsia="zh-CN"/>
                    </w:rPr>
                    <w:t>）自动通气阀在浮顶处于漂浮状态时关闭且密封良好，仅在浮顶处于支撑状态时开启；</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f</w:t>
                  </w:r>
                  <w:r>
                    <w:rPr>
                      <w:rFonts w:hint="eastAsia" w:ascii="Times New Roman" w:hAnsi="Times New Roman" w:eastAsia="宋体" w:cs="Times New Roman"/>
                      <w:kern w:val="0"/>
                      <w:sz w:val="21"/>
                      <w:szCs w:val="21"/>
                      <w:lang w:val="en-US" w:eastAsia="zh-CN"/>
                    </w:rPr>
                    <w:t>）边缘呼吸阀在浮顶处于漂浮状态时应密闭良好，并定期检查定压是否符合设定要求；</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g</w:t>
                  </w:r>
                  <w:r>
                    <w:rPr>
                      <w:rFonts w:hint="eastAsia" w:ascii="Times New Roman" w:hAnsi="Times New Roman" w:eastAsia="宋体" w:cs="Times New Roman"/>
                      <w:kern w:val="0"/>
                      <w:sz w:val="21"/>
                      <w:szCs w:val="21"/>
                      <w:lang w:val="en-US" w:eastAsia="zh-CN"/>
                    </w:rPr>
                    <w:t>）除自动通气阀、边缘呼吸阀外，浮顶的外边缘板及所有通过浮顶的开孔接管均浸入液面下。</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EA4B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A981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本项目采用的浮顶罐密闭性良好，各项设计符合相关要求</w:t>
                  </w:r>
                </w:p>
              </w:tc>
            </w:tr>
            <w:tr w14:paraId="3714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19E4">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DBCF">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05230">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9FDD1">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9A124">
                  <w:pPr>
                    <w:widowControl/>
                    <w:spacing w:line="240" w:lineRule="auto"/>
                    <w:ind w:firstLine="0" w:firstLineChars="0"/>
                    <w:jc w:val="center"/>
                    <w:rPr>
                      <w:rFonts w:hint="default" w:ascii="Times New Roman" w:hAnsi="Times New Roman" w:eastAsia="宋体" w:cs="Times New Roman"/>
                      <w:kern w:val="0"/>
                      <w:sz w:val="21"/>
                      <w:szCs w:val="21"/>
                    </w:rPr>
                  </w:pPr>
                </w:p>
              </w:tc>
            </w:tr>
            <w:tr w14:paraId="5698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9ECAA">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0FD82">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6815">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BC8C8">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F201B">
                  <w:pPr>
                    <w:widowControl/>
                    <w:spacing w:line="240" w:lineRule="auto"/>
                    <w:ind w:firstLine="0" w:firstLineChars="0"/>
                    <w:jc w:val="center"/>
                    <w:rPr>
                      <w:rFonts w:hint="default" w:ascii="Times New Roman" w:hAnsi="Times New Roman" w:eastAsia="宋体" w:cs="Times New Roman"/>
                      <w:kern w:val="0"/>
                      <w:sz w:val="21"/>
                      <w:szCs w:val="21"/>
                    </w:rPr>
                  </w:pPr>
                </w:p>
              </w:tc>
            </w:tr>
            <w:tr w14:paraId="4F18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FF4A">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16EBC">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CB436">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7B89">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C235">
                  <w:pPr>
                    <w:widowControl/>
                    <w:spacing w:line="240" w:lineRule="auto"/>
                    <w:ind w:firstLine="0" w:firstLineChars="0"/>
                    <w:jc w:val="center"/>
                    <w:rPr>
                      <w:rFonts w:hint="default" w:ascii="Times New Roman" w:hAnsi="Times New Roman" w:eastAsia="宋体" w:cs="Times New Roman"/>
                      <w:kern w:val="0"/>
                      <w:sz w:val="21"/>
                      <w:szCs w:val="21"/>
                    </w:rPr>
                  </w:pPr>
                </w:p>
              </w:tc>
            </w:tr>
            <w:tr w14:paraId="320C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9B06E">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DC61F">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85F2">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6ADEF">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64F20">
                  <w:pPr>
                    <w:widowControl/>
                    <w:spacing w:line="240" w:lineRule="auto"/>
                    <w:ind w:firstLine="0" w:firstLineChars="0"/>
                    <w:jc w:val="center"/>
                    <w:rPr>
                      <w:rFonts w:hint="default" w:ascii="Times New Roman" w:hAnsi="Times New Roman" w:eastAsia="宋体" w:cs="Times New Roman"/>
                      <w:kern w:val="0"/>
                      <w:sz w:val="21"/>
                      <w:szCs w:val="21"/>
                    </w:rPr>
                  </w:pPr>
                </w:p>
              </w:tc>
            </w:tr>
            <w:tr w14:paraId="2946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90F5C">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36D6">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65FA9">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86C0E">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1E89C">
                  <w:pPr>
                    <w:widowControl/>
                    <w:spacing w:line="240" w:lineRule="auto"/>
                    <w:ind w:firstLine="0" w:firstLineChars="0"/>
                    <w:jc w:val="center"/>
                    <w:rPr>
                      <w:rFonts w:hint="default" w:ascii="Times New Roman" w:hAnsi="Times New Roman" w:eastAsia="宋体" w:cs="Times New Roman"/>
                      <w:kern w:val="0"/>
                      <w:sz w:val="21"/>
                      <w:szCs w:val="21"/>
                    </w:rPr>
                  </w:pPr>
                </w:p>
              </w:tc>
            </w:tr>
            <w:tr w14:paraId="54D0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9635">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6731C">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24256">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17C5">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A6BF9">
                  <w:pPr>
                    <w:widowControl/>
                    <w:spacing w:line="240" w:lineRule="auto"/>
                    <w:ind w:firstLine="0" w:firstLineChars="0"/>
                    <w:jc w:val="center"/>
                    <w:rPr>
                      <w:rFonts w:hint="default" w:ascii="Times New Roman" w:hAnsi="Times New Roman" w:eastAsia="宋体" w:cs="Times New Roman"/>
                      <w:kern w:val="0"/>
                      <w:sz w:val="21"/>
                      <w:szCs w:val="21"/>
                    </w:rPr>
                  </w:pPr>
                </w:p>
              </w:tc>
            </w:tr>
            <w:tr w14:paraId="1ADD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2064D">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9DBC">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1C27">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064F">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FA864">
                  <w:pPr>
                    <w:widowControl/>
                    <w:spacing w:line="240" w:lineRule="auto"/>
                    <w:ind w:firstLine="0" w:firstLineChars="0"/>
                    <w:jc w:val="center"/>
                    <w:rPr>
                      <w:rFonts w:hint="default" w:ascii="Times New Roman" w:hAnsi="Times New Roman" w:eastAsia="宋体" w:cs="Times New Roman"/>
                      <w:kern w:val="0"/>
                      <w:sz w:val="21"/>
                      <w:szCs w:val="21"/>
                    </w:rPr>
                  </w:pPr>
                </w:p>
              </w:tc>
            </w:tr>
            <w:tr w14:paraId="41A1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5B592">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10</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20B2">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3AB00">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固定顶罐：</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）罐体应保持完好，不应有孔洞、缝隙；</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）储罐附件开口（孔），除采样、计量、例行检查、维护和其他正常活动外，应密闭；</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）定期检查呼吸阀的定压是否符合设计要求。</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A6BB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115F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7DF7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B00A1">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00D7A">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B2BE">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2A3A7">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8D866">
                  <w:pPr>
                    <w:widowControl/>
                    <w:spacing w:line="240" w:lineRule="auto"/>
                    <w:ind w:firstLine="0" w:firstLineChars="0"/>
                    <w:jc w:val="center"/>
                    <w:rPr>
                      <w:rFonts w:hint="default" w:ascii="Times New Roman" w:hAnsi="Times New Roman" w:eastAsia="宋体" w:cs="Times New Roman"/>
                      <w:kern w:val="0"/>
                      <w:sz w:val="21"/>
                      <w:szCs w:val="21"/>
                    </w:rPr>
                  </w:pPr>
                </w:p>
              </w:tc>
            </w:tr>
            <w:tr w14:paraId="2B22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7E438">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0602E">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D010">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BEAEB">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61086">
                  <w:pPr>
                    <w:widowControl/>
                    <w:spacing w:line="240" w:lineRule="auto"/>
                    <w:ind w:firstLine="0" w:firstLineChars="0"/>
                    <w:jc w:val="center"/>
                    <w:rPr>
                      <w:rFonts w:hint="default" w:ascii="Times New Roman" w:hAnsi="Times New Roman" w:eastAsia="宋体" w:cs="Times New Roman"/>
                      <w:kern w:val="0"/>
                      <w:sz w:val="21"/>
                      <w:szCs w:val="21"/>
                    </w:rPr>
                  </w:pPr>
                </w:p>
              </w:tc>
            </w:tr>
            <w:tr w14:paraId="2AEC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4CB1F">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F07C4">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63268">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4F2C">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E1CD">
                  <w:pPr>
                    <w:widowControl/>
                    <w:spacing w:line="240" w:lineRule="auto"/>
                    <w:ind w:firstLine="0" w:firstLineChars="0"/>
                    <w:jc w:val="center"/>
                    <w:rPr>
                      <w:rFonts w:hint="default" w:ascii="Times New Roman" w:hAnsi="Times New Roman" w:eastAsia="宋体" w:cs="Times New Roman"/>
                      <w:kern w:val="0"/>
                      <w:sz w:val="21"/>
                      <w:szCs w:val="21"/>
                    </w:rPr>
                  </w:pPr>
                </w:p>
              </w:tc>
            </w:tr>
            <w:tr w14:paraId="09CA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F5373">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72C4F">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物料输送</w:t>
                  </w: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1B43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液态物料应采用密闭管道，采用非管道输送方式转移液态</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物料时，应采用密闭容器、罐车。</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0DAC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FF65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本项目液体物料均采用密闭管道送料</w:t>
                  </w:r>
                </w:p>
              </w:tc>
            </w:tr>
            <w:tr w14:paraId="3859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ED79">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CBE53">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D8F34">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09AD8">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1E3E8">
                  <w:pPr>
                    <w:widowControl/>
                    <w:spacing w:line="240" w:lineRule="auto"/>
                    <w:ind w:firstLine="0" w:firstLineChars="0"/>
                    <w:jc w:val="center"/>
                    <w:rPr>
                      <w:rFonts w:hint="default" w:ascii="Times New Roman" w:hAnsi="Times New Roman" w:eastAsia="宋体" w:cs="Times New Roman"/>
                      <w:kern w:val="0"/>
                      <w:sz w:val="21"/>
                      <w:szCs w:val="21"/>
                    </w:rPr>
                  </w:pPr>
                </w:p>
              </w:tc>
            </w:tr>
            <w:tr w14:paraId="7367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A8FF2">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EE04">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65611">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BEA2">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4ADD8">
                  <w:pPr>
                    <w:widowControl/>
                    <w:spacing w:line="240" w:lineRule="auto"/>
                    <w:ind w:firstLine="0" w:firstLineChars="0"/>
                    <w:jc w:val="center"/>
                    <w:rPr>
                      <w:rFonts w:hint="default" w:ascii="Times New Roman" w:hAnsi="Times New Roman" w:eastAsia="宋体" w:cs="Times New Roman"/>
                      <w:kern w:val="0"/>
                      <w:sz w:val="21"/>
                      <w:szCs w:val="21"/>
                    </w:rPr>
                  </w:pPr>
                </w:p>
              </w:tc>
            </w:tr>
            <w:tr w14:paraId="71C8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A77F">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1879">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95EF">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粉状、粒状</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物料应采用气力输送设备、管状带式输送机、螺旋输送机等密闭输送方式，或者采用密闭的包装袋、容器或罐车进行物料转移。</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9B7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3A3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2B14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CB3">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BC8F">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058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物料输送宜采用重力流或泵送方式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44D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BDB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本项目液体物料均使用管道送料泵泵送</w:t>
                  </w:r>
                </w:p>
              </w:tc>
            </w:tr>
            <w:tr w14:paraId="724F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57900">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14</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E28D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物料装载</w:t>
                  </w: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E3C5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挥发性有机液体采用底部装载方式；若采用顶部浸没式装载，出料管口距离槽（罐）</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底部高度小于</w:t>
                  </w:r>
                  <w:r>
                    <w:rPr>
                      <w:rFonts w:hint="default" w:ascii="Times New Roman" w:hAnsi="Times New Roman" w:eastAsia="宋体" w:cs="Times New Roman"/>
                      <w:kern w:val="0"/>
                      <w:sz w:val="21"/>
                      <w:szCs w:val="21"/>
                      <w:lang w:val="en-US" w:eastAsia="zh-CN"/>
                    </w:rPr>
                    <w:t>200 mm</w:t>
                  </w:r>
                  <w:r>
                    <w:rPr>
                      <w:rFonts w:hint="eastAsia" w:ascii="Times New Roman" w:hAnsi="Times New Roman" w:eastAsia="宋体" w:cs="Times New Roman"/>
                      <w:kern w:val="0"/>
                      <w:sz w:val="21"/>
                      <w:szCs w:val="21"/>
                      <w:lang w:val="en-US" w:eastAsia="zh-CN"/>
                    </w:rPr>
                    <w:t>。</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2B17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A54F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本项目采用底部装载方式</w:t>
                  </w:r>
                </w:p>
              </w:tc>
            </w:tr>
            <w:tr w14:paraId="24DB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D6EC">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7E4ED">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D8E5">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7631">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CD22">
                  <w:pPr>
                    <w:widowControl/>
                    <w:spacing w:line="240" w:lineRule="auto"/>
                    <w:ind w:firstLine="0" w:firstLineChars="0"/>
                    <w:jc w:val="center"/>
                    <w:rPr>
                      <w:rFonts w:hint="default" w:ascii="Times New Roman" w:hAnsi="Times New Roman" w:eastAsia="宋体" w:cs="Times New Roman"/>
                      <w:kern w:val="0"/>
                      <w:sz w:val="21"/>
                      <w:szCs w:val="21"/>
                    </w:rPr>
                  </w:pPr>
                </w:p>
              </w:tc>
            </w:tr>
            <w:tr w14:paraId="6882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1E6CB">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84C0">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CCF3">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14B6F">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AE711">
                  <w:pPr>
                    <w:widowControl/>
                    <w:spacing w:line="240" w:lineRule="auto"/>
                    <w:ind w:firstLine="0" w:firstLineChars="0"/>
                    <w:jc w:val="center"/>
                    <w:rPr>
                      <w:rFonts w:hint="default" w:ascii="Times New Roman" w:hAnsi="Times New Roman" w:eastAsia="宋体" w:cs="Times New Roman"/>
                      <w:kern w:val="0"/>
                      <w:sz w:val="21"/>
                      <w:szCs w:val="21"/>
                    </w:rPr>
                  </w:pPr>
                </w:p>
              </w:tc>
            </w:tr>
            <w:tr w14:paraId="7D0A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B7420">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9231">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1B861">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装载物料真实蒸气压</w:t>
                  </w:r>
                  <w:r>
                    <w:rPr>
                      <w:rFonts w:hint="default" w:ascii="Times New Roman" w:hAnsi="Times New Roman" w:eastAsia="宋体" w:cs="Times New Roman"/>
                      <w:kern w:val="0"/>
                      <w:sz w:val="21"/>
                      <w:szCs w:val="21"/>
                      <w:lang w:val="en-US" w:eastAsia="zh-CN"/>
                    </w:rPr>
                    <w:t xml:space="preserve">≥27.6 kPa </w:t>
                  </w:r>
                  <w:r>
                    <w:rPr>
                      <w:rFonts w:hint="eastAsia" w:ascii="Times New Roman" w:hAnsi="Times New Roman" w:eastAsia="宋体" w:cs="Times New Roman"/>
                      <w:kern w:val="0"/>
                      <w:sz w:val="21"/>
                      <w:szCs w:val="21"/>
                      <w:lang w:val="en-US" w:eastAsia="zh-CN"/>
                    </w:rPr>
                    <w:t>且单一装载设施的年装载量</w:t>
                  </w:r>
                  <w:r>
                    <w:rPr>
                      <w:rFonts w:hint="default" w:ascii="Times New Roman" w:hAnsi="Times New Roman" w:eastAsia="宋体" w:cs="Times New Roman"/>
                      <w:kern w:val="0"/>
                      <w:sz w:val="21"/>
                      <w:szCs w:val="21"/>
                      <w:lang w:val="en-US" w:eastAsia="zh-CN"/>
                    </w:rPr>
                    <w:t xml:space="preserve">≥500 m3 </w:t>
                  </w:r>
                  <w:r>
                    <w:rPr>
                      <w:rFonts w:hint="eastAsia" w:ascii="Times New Roman" w:hAnsi="Times New Roman" w:eastAsia="宋体" w:cs="Times New Roman"/>
                      <w:kern w:val="0"/>
                      <w:sz w:val="21"/>
                      <w:szCs w:val="21"/>
                      <w:lang w:val="en-US" w:eastAsia="zh-CN"/>
                    </w:rPr>
                    <w:t>，应下列规定之一：</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）排放的废气收集处理达标排放，或者处理效率不低于</w:t>
                  </w:r>
                  <w:r>
                    <w:rPr>
                      <w:rFonts w:hint="default" w:ascii="Times New Roman" w:hAnsi="Times New Roman" w:eastAsia="宋体" w:cs="Times New Roman"/>
                      <w:kern w:val="0"/>
                      <w:sz w:val="21"/>
                      <w:szCs w:val="21"/>
                      <w:lang w:val="en-US" w:eastAsia="zh-CN"/>
                    </w:rPr>
                    <w:t xml:space="preserve"> 80%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）排放的废气连接至气相平衡系统。</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7031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325D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29EF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2989">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40CE5">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EE063">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C886">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9F19B">
                  <w:pPr>
                    <w:widowControl/>
                    <w:spacing w:line="240" w:lineRule="auto"/>
                    <w:ind w:firstLine="0" w:firstLineChars="0"/>
                    <w:jc w:val="center"/>
                    <w:rPr>
                      <w:rFonts w:hint="default" w:ascii="Times New Roman" w:hAnsi="Times New Roman" w:eastAsia="宋体" w:cs="Times New Roman"/>
                      <w:kern w:val="0"/>
                      <w:sz w:val="21"/>
                      <w:szCs w:val="21"/>
                    </w:rPr>
                  </w:pPr>
                </w:p>
              </w:tc>
            </w:tr>
            <w:tr w14:paraId="4092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7AA36">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929D">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6E9F2">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D9FCB">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DD2DD">
                  <w:pPr>
                    <w:widowControl/>
                    <w:spacing w:line="240" w:lineRule="auto"/>
                    <w:ind w:firstLine="0" w:firstLineChars="0"/>
                    <w:jc w:val="center"/>
                    <w:rPr>
                      <w:rFonts w:hint="default" w:ascii="Times New Roman" w:hAnsi="Times New Roman" w:eastAsia="宋体" w:cs="Times New Roman"/>
                      <w:kern w:val="0"/>
                      <w:sz w:val="21"/>
                      <w:szCs w:val="21"/>
                    </w:rPr>
                  </w:pPr>
                </w:p>
              </w:tc>
            </w:tr>
            <w:tr w14:paraId="09E4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0F0AA">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16</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297D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投料和卸料</w:t>
                  </w: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81520">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液态</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物料采用密闭管道输送方式或采用高位槽（罐）、桶泵等给料方式密闭投</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加；无法密闭投加的，在密闭空间内操作，或进行局部气体收集，废气排至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气收集处理系统。</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01D91">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86AF6">
                  <w:pPr>
                    <w:widowControl/>
                    <w:spacing w:line="240" w:lineRule="auto"/>
                    <w:ind w:firstLine="0" w:firstLineChars="0"/>
                    <w:jc w:val="center"/>
                    <w:rPr>
                      <w:rFonts w:hint="default" w:ascii="Times New Roman" w:hAnsi="Times New Roman" w:eastAsia="宋体" w:cs="Times New Roman"/>
                      <w:kern w:val="0"/>
                      <w:sz w:val="21"/>
                      <w:szCs w:val="21"/>
                    </w:rPr>
                  </w:pPr>
                </w:p>
              </w:tc>
            </w:tr>
            <w:tr w14:paraId="4662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2B515">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C4AA5">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716E1">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208BC">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EEC02">
                  <w:pPr>
                    <w:widowControl/>
                    <w:spacing w:line="240" w:lineRule="auto"/>
                    <w:ind w:firstLine="0" w:firstLineChars="0"/>
                    <w:jc w:val="center"/>
                    <w:rPr>
                      <w:rFonts w:hint="default" w:ascii="Times New Roman" w:hAnsi="Times New Roman" w:eastAsia="宋体" w:cs="Times New Roman"/>
                      <w:kern w:val="0"/>
                      <w:sz w:val="21"/>
                      <w:szCs w:val="21"/>
                    </w:rPr>
                  </w:pPr>
                </w:p>
              </w:tc>
            </w:tr>
            <w:tr w14:paraId="3897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B941">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74F75">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80406">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76BCB">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20F9">
                  <w:pPr>
                    <w:widowControl/>
                    <w:spacing w:line="240" w:lineRule="auto"/>
                    <w:ind w:firstLine="0" w:firstLineChars="0"/>
                    <w:jc w:val="center"/>
                    <w:rPr>
                      <w:rFonts w:hint="default" w:ascii="Times New Roman" w:hAnsi="Times New Roman" w:eastAsia="宋体" w:cs="Times New Roman"/>
                      <w:kern w:val="0"/>
                      <w:sz w:val="21"/>
                      <w:szCs w:val="21"/>
                    </w:rPr>
                  </w:pPr>
                </w:p>
              </w:tc>
            </w:tr>
            <w:tr w14:paraId="2F36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3AE5C">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E880">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09F0">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E07B2">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B9F1B">
                  <w:pPr>
                    <w:widowControl/>
                    <w:spacing w:line="240" w:lineRule="auto"/>
                    <w:ind w:firstLine="0" w:firstLineChars="0"/>
                    <w:jc w:val="center"/>
                    <w:rPr>
                      <w:rFonts w:hint="default" w:ascii="Times New Roman" w:hAnsi="Times New Roman" w:eastAsia="宋体" w:cs="Times New Roman"/>
                      <w:kern w:val="0"/>
                      <w:sz w:val="21"/>
                      <w:szCs w:val="21"/>
                    </w:rPr>
                  </w:pPr>
                </w:p>
              </w:tc>
            </w:tr>
            <w:tr w14:paraId="3AD0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2DB93">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E1E9E">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A605">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9520A">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545BF">
                  <w:pPr>
                    <w:widowControl/>
                    <w:spacing w:line="240" w:lineRule="auto"/>
                    <w:ind w:firstLine="0" w:firstLineChars="0"/>
                    <w:jc w:val="center"/>
                    <w:rPr>
                      <w:rFonts w:hint="default" w:ascii="Times New Roman" w:hAnsi="Times New Roman" w:eastAsia="宋体" w:cs="Times New Roman"/>
                      <w:kern w:val="0"/>
                      <w:sz w:val="21"/>
                      <w:szCs w:val="21"/>
                    </w:rPr>
                  </w:pPr>
                </w:p>
              </w:tc>
            </w:tr>
            <w:tr w14:paraId="0BEA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66A93">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17</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E12E1">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5245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粉状、粒状</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物料采用气力输送方式或采用密闭固体投料器等给料方式密闭投加；</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无法密闭投加的，在密闭空间内操作，或进行局部气体收集，废气排至除尘设施、</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废气收集处理系统。</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1687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AC8D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5A22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D6951">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797C">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E2747">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4EE1A">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4D004">
                  <w:pPr>
                    <w:widowControl/>
                    <w:spacing w:line="240" w:lineRule="auto"/>
                    <w:ind w:firstLine="0" w:firstLineChars="0"/>
                    <w:jc w:val="center"/>
                    <w:rPr>
                      <w:rFonts w:hint="default" w:ascii="Times New Roman" w:hAnsi="Times New Roman" w:eastAsia="宋体" w:cs="Times New Roman"/>
                      <w:kern w:val="0"/>
                      <w:sz w:val="21"/>
                      <w:szCs w:val="21"/>
                    </w:rPr>
                  </w:pPr>
                </w:p>
              </w:tc>
            </w:tr>
            <w:tr w14:paraId="3AA4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1"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6423">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18</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A06C">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0366">
                  <w:pPr>
                    <w:widowControl/>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物料卸（出、放）料过程密闭，卸料废气排至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废气收集处理系统；无法密闭的，采取局部气体收集措施，废气排至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5FE34">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8F5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本项目采用搅拌罐出气口直连废气处理设施，分装工位加装集气罩进一步收集有机废气，符合要求</w:t>
                  </w:r>
                </w:p>
              </w:tc>
            </w:tr>
            <w:tr w14:paraId="5CFE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D068">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19</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BD062">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CBF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有机液体进料采用底部、浸入管给料方式。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BA5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B50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本项目液体物料均采用密闭管道送料</w:t>
                  </w:r>
                </w:p>
              </w:tc>
            </w:tr>
            <w:tr w14:paraId="598F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4AA48">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20</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E381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反应</w:t>
                  </w: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08DB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反应设备进料置换废气、挥发排气、反应尾气等排至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2BD6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30D8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0BCA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78680">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615D">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9930D">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C15F6">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61445">
                  <w:pPr>
                    <w:widowControl/>
                    <w:spacing w:line="240" w:lineRule="auto"/>
                    <w:ind w:firstLine="0" w:firstLineChars="0"/>
                    <w:jc w:val="center"/>
                    <w:rPr>
                      <w:rFonts w:hint="default" w:ascii="Times New Roman" w:hAnsi="Times New Roman" w:eastAsia="宋体" w:cs="Times New Roman"/>
                      <w:kern w:val="0"/>
                      <w:sz w:val="21"/>
                      <w:szCs w:val="21"/>
                    </w:rPr>
                  </w:pPr>
                </w:p>
              </w:tc>
            </w:tr>
            <w:tr w14:paraId="5857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C0AC">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21</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A8D0D">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712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反应期间，反应设备的进料口、</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出料口、检修口、搅拌口、观察孔等开口（孔）在不</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操作时保持密闭。</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B78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32D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4C42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035F5">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22</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B2C01">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分离精制</w:t>
                  </w: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E550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离心、过滤单元操作采用密闭式离心机、压滤机等设备，离心、过滤废气排至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气收集处理系统；未采用密闭设备的，在密闭空间内操作，或进行局部气体收集，废气排至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DE4A1">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A320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1B76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967A3">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9ADFE">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14DD1">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3200">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E900A">
                  <w:pPr>
                    <w:widowControl/>
                    <w:spacing w:line="240" w:lineRule="auto"/>
                    <w:ind w:firstLine="0" w:firstLineChars="0"/>
                    <w:jc w:val="center"/>
                    <w:rPr>
                      <w:rFonts w:hint="default" w:ascii="Times New Roman" w:hAnsi="Times New Roman" w:eastAsia="宋体" w:cs="Times New Roman"/>
                      <w:kern w:val="0"/>
                      <w:sz w:val="21"/>
                      <w:szCs w:val="21"/>
                    </w:rPr>
                  </w:pPr>
                </w:p>
              </w:tc>
            </w:tr>
            <w:tr w14:paraId="3C98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F5B73">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3BE2F">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E9A37">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C390">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020B6">
                  <w:pPr>
                    <w:widowControl/>
                    <w:spacing w:line="240" w:lineRule="auto"/>
                    <w:ind w:firstLine="0" w:firstLineChars="0"/>
                    <w:jc w:val="center"/>
                    <w:rPr>
                      <w:rFonts w:hint="default" w:ascii="Times New Roman" w:hAnsi="Times New Roman" w:eastAsia="宋体" w:cs="Times New Roman"/>
                      <w:kern w:val="0"/>
                      <w:sz w:val="21"/>
                      <w:szCs w:val="21"/>
                    </w:rPr>
                  </w:pPr>
                </w:p>
              </w:tc>
            </w:tr>
            <w:tr w14:paraId="30EC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A9AA0">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07F3">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73F86">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8D920">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85583">
                  <w:pPr>
                    <w:widowControl/>
                    <w:spacing w:line="240" w:lineRule="auto"/>
                    <w:ind w:firstLine="0" w:firstLineChars="0"/>
                    <w:jc w:val="center"/>
                    <w:rPr>
                      <w:rFonts w:hint="default" w:ascii="Times New Roman" w:hAnsi="Times New Roman" w:eastAsia="宋体" w:cs="Times New Roman"/>
                      <w:kern w:val="0"/>
                      <w:sz w:val="21"/>
                      <w:szCs w:val="21"/>
                    </w:rPr>
                  </w:pPr>
                </w:p>
              </w:tc>
            </w:tr>
            <w:tr w14:paraId="1203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C4786">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599A7">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9020">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558CE">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FDEF9">
                  <w:pPr>
                    <w:widowControl/>
                    <w:spacing w:line="240" w:lineRule="auto"/>
                    <w:ind w:firstLine="0" w:firstLineChars="0"/>
                    <w:jc w:val="center"/>
                    <w:rPr>
                      <w:rFonts w:hint="default" w:ascii="Times New Roman" w:hAnsi="Times New Roman" w:eastAsia="宋体" w:cs="Times New Roman"/>
                      <w:kern w:val="0"/>
                      <w:sz w:val="21"/>
                      <w:szCs w:val="21"/>
                    </w:rPr>
                  </w:pPr>
                </w:p>
              </w:tc>
            </w:tr>
            <w:tr w14:paraId="4850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0973">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A33C5">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6BF0">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DC697">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4494">
                  <w:pPr>
                    <w:widowControl/>
                    <w:spacing w:line="240" w:lineRule="auto"/>
                    <w:ind w:firstLine="0" w:firstLineChars="0"/>
                    <w:jc w:val="center"/>
                    <w:rPr>
                      <w:rFonts w:hint="default" w:ascii="Times New Roman" w:hAnsi="Times New Roman" w:eastAsia="宋体" w:cs="Times New Roman"/>
                      <w:kern w:val="0"/>
                      <w:sz w:val="21"/>
                      <w:szCs w:val="21"/>
                    </w:rPr>
                  </w:pPr>
                </w:p>
              </w:tc>
            </w:tr>
            <w:tr w14:paraId="1D84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0552A">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73BB8">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AC7F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干燥单元操作采用密闭干燥设备，干燥废气排至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废气收集处理系统；未采用密闭设备的，在密闭空间内操作，或进行局部气体收集，废气排至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系统。</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EBA1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3592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7D91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72CB">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830B">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3A8C3">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799B3">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319D">
                  <w:pPr>
                    <w:widowControl/>
                    <w:spacing w:line="240" w:lineRule="auto"/>
                    <w:ind w:firstLine="0" w:firstLineChars="0"/>
                    <w:jc w:val="center"/>
                    <w:rPr>
                      <w:rFonts w:hint="default" w:ascii="Times New Roman" w:hAnsi="Times New Roman" w:eastAsia="宋体" w:cs="Times New Roman"/>
                      <w:kern w:val="0"/>
                      <w:sz w:val="21"/>
                      <w:szCs w:val="21"/>
                    </w:rPr>
                  </w:pPr>
                </w:p>
              </w:tc>
            </w:tr>
            <w:tr w14:paraId="4B11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D887">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7AD5">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07A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吸收、洗涤、蒸馏</w:t>
                  </w:r>
                  <w:r>
                    <w:rPr>
                      <w:rFonts w:hint="default" w:ascii="Times New Roman" w:hAnsi="Times New Roman" w:eastAsia="宋体" w:cs="Times New Roman"/>
                      <w:kern w:val="0"/>
                      <w:sz w:val="21"/>
                      <w:szCs w:val="21"/>
                      <w:lang w:val="en-US" w:eastAsia="zh-CN"/>
                    </w:rPr>
                    <w:t>/</w:t>
                  </w:r>
                  <w:r>
                    <w:rPr>
                      <w:rFonts w:hint="eastAsia" w:ascii="Times New Roman" w:hAnsi="Times New Roman" w:eastAsia="宋体" w:cs="Times New Roman"/>
                      <w:kern w:val="0"/>
                      <w:sz w:val="21"/>
                      <w:szCs w:val="21"/>
                      <w:lang w:val="en-US" w:eastAsia="zh-CN"/>
                    </w:rPr>
                    <w:t>精馏、萃取、结晶等单元操作排放的废气，冷凝单元操作排放的不凝尾气，吸附单元操作的脱附尾气等排至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6A1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96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2305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0FDF">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CEBF3">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BBC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分离精制后的</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母液密闭收集，母液储槽（罐）产生的废气排至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279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816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1E9A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F75D3">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26</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3B7B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清洗</w:t>
                  </w: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C74BF">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涂料、油墨及胶粘剂工业移动缸及设备零件清洗时，应采用密闭系统或在密闭空间内</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操作，废气应排至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废气收集处理系统；无法密闭的，应采取局部气体收集措施，废气应排至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FFD7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00CE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3E98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4A389">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278A5">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2DE6">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BA37">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F78B3">
                  <w:pPr>
                    <w:widowControl/>
                    <w:spacing w:line="240" w:lineRule="auto"/>
                    <w:ind w:firstLine="0" w:firstLineChars="0"/>
                    <w:jc w:val="center"/>
                    <w:rPr>
                      <w:rFonts w:hint="default" w:ascii="Times New Roman" w:hAnsi="Times New Roman" w:eastAsia="宋体" w:cs="Times New Roman"/>
                      <w:kern w:val="0"/>
                      <w:sz w:val="21"/>
                      <w:szCs w:val="21"/>
                    </w:rPr>
                  </w:pPr>
                </w:p>
              </w:tc>
            </w:tr>
            <w:tr w14:paraId="4DB0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BE472">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27</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1368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真空设备</w:t>
                  </w:r>
                </w:p>
              </w:tc>
              <w:tc>
                <w:tcPr>
                  <w:tcW w:w="4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D799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真空系统采用干式真空泵，真空排气排至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废气收集处理系统；若使用液环（水环）真空泵、水（水蒸气）喷射真空泵等，工作介质的循环槽（罐）密闭，真空排气、循环槽（罐）排气排至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431F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94DD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156E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D31E">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372A6">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9A92B">
                  <w:pPr>
                    <w:widowControl/>
                    <w:spacing w:line="240" w:lineRule="auto"/>
                    <w:ind w:firstLine="0" w:firstLineChars="0"/>
                    <w:jc w:val="center"/>
                    <w:rPr>
                      <w:rFonts w:hint="default" w:ascii="Times New Roman" w:hAnsi="Times New Roman" w:eastAsia="宋体" w:cs="Times New Roman"/>
                      <w:kern w:val="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B542">
                  <w:pPr>
                    <w:widowControl/>
                    <w:spacing w:line="240" w:lineRule="auto"/>
                    <w:ind w:firstLine="0" w:firstLineChars="0"/>
                    <w:jc w:val="center"/>
                    <w:rPr>
                      <w:rFonts w:hint="default" w:ascii="Times New Roman" w:hAnsi="Times New Roman" w:eastAsia="宋体" w:cs="Times New Roman"/>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9975F">
                  <w:pPr>
                    <w:widowControl/>
                    <w:spacing w:line="240" w:lineRule="auto"/>
                    <w:ind w:firstLine="0" w:firstLineChars="0"/>
                    <w:jc w:val="center"/>
                    <w:rPr>
                      <w:rFonts w:hint="default" w:ascii="Times New Roman" w:hAnsi="Times New Roman" w:eastAsia="宋体" w:cs="Times New Roman"/>
                      <w:kern w:val="0"/>
                      <w:sz w:val="21"/>
                      <w:szCs w:val="21"/>
                    </w:rPr>
                  </w:pPr>
                </w:p>
              </w:tc>
            </w:tr>
            <w:tr w14:paraId="721B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BB84">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7DB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配料加工及包装</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3E54">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物料的配料、混合、研磨、造粒、切片、压块、分散、调色、兑稀、过滤、干燥以及灌装或包装等过程，采用密闭设备或在密闭空间内操作，废气排至废气收集处</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理系统；无法密闭的，采取局部气体收集措施，废气排至废气收集处理系统。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162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254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55ED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2D2E">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29</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0709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非正常排放</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E2FA">
                  <w:pPr>
                    <w:widowControl/>
                    <w:spacing w:line="240" w:lineRule="auto"/>
                    <w:ind w:firstLine="0" w:firstLineChars="0"/>
                    <w:jc w:val="both"/>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载有</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物料的设备及其管道在开停工（车）、检维修时，在退料阶段将残存物料退净，并用密闭容器盛装，退料过程废气排至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废气收集处理系统。清洗及吹扫过程排气排至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132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AD8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00A3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1A22">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30</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8714">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A24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开车阶段产生的易挥发性不合格产品宜收集至中间储罐等装置。</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323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DBA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6BF3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3D20">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ED16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设备与管线</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组件泄漏</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757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载有气态</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物料、液态</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物料的设备与管线组件的密封点</w:t>
                  </w:r>
                  <w:r>
                    <w:rPr>
                      <w:rFonts w:hint="default" w:ascii="Times New Roman" w:hAnsi="Times New Roman" w:eastAsia="宋体" w:cs="Times New Roman"/>
                      <w:kern w:val="0"/>
                      <w:sz w:val="21"/>
                      <w:szCs w:val="21"/>
                      <w:lang w:val="en-US" w:eastAsia="zh-CN"/>
                    </w:rPr>
                    <w:t xml:space="preserve">≥2 000 </w:t>
                  </w:r>
                  <w:r>
                    <w:rPr>
                      <w:rFonts w:hint="eastAsia" w:ascii="Times New Roman" w:hAnsi="Times New Roman" w:eastAsia="宋体" w:cs="Times New Roman"/>
                      <w:kern w:val="0"/>
                      <w:sz w:val="21"/>
                      <w:szCs w:val="21"/>
                      <w:lang w:val="en-US" w:eastAsia="zh-CN"/>
                    </w:rPr>
                    <w:t>个，开展</w:t>
                  </w:r>
                  <w:r>
                    <w:rPr>
                      <w:rFonts w:hint="default" w:ascii="Times New Roman" w:hAnsi="Times New Roman" w:eastAsia="宋体" w:cs="Times New Roman"/>
                      <w:kern w:val="0"/>
                      <w:sz w:val="21"/>
                      <w:szCs w:val="21"/>
                      <w:lang w:val="en-US" w:eastAsia="zh-CN"/>
                    </w:rPr>
                    <w:t xml:space="preserve"> LDAR </w:t>
                  </w:r>
                  <w:r>
                    <w:rPr>
                      <w:rFonts w:hint="eastAsia" w:ascii="Times New Roman" w:hAnsi="Times New Roman" w:eastAsia="宋体" w:cs="Times New Roman"/>
                      <w:kern w:val="0"/>
                      <w:sz w:val="21"/>
                      <w:szCs w:val="21"/>
                      <w:lang w:val="en-US" w:eastAsia="zh-CN"/>
                    </w:rPr>
                    <w:t>工作。</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05B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7D7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1396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8"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B8B3">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5E4DD">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DC63">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按下列频次对设备与管线组件的密封点进行</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泄漏检测：</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）泵、压缩机、搅拌器（机）、阀门、开口阀或开口管线、泄压设备、取样连接系统</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至少每</w:t>
                  </w:r>
                  <w:r>
                    <w:rPr>
                      <w:rFonts w:hint="default" w:ascii="Times New Roman" w:hAnsi="Times New Roman" w:eastAsia="宋体" w:cs="Times New Roman"/>
                      <w:kern w:val="0"/>
                      <w:sz w:val="21"/>
                      <w:szCs w:val="21"/>
                      <w:lang w:val="en-US" w:eastAsia="zh-CN"/>
                    </w:rPr>
                    <w:t xml:space="preserve"> 6 </w:t>
                  </w:r>
                  <w:r>
                    <w:rPr>
                      <w:rFonts w:hint="eastAsia" w:ascii="Times New Roman" w:hAnsi="Times New Roman" w:eastAsia="宋体" w:cs="Times New Roman"/>
                      <w:kern w:val="0"/>
                      <w:sz w:val="21"/>
                      <w:szCs w:val="21"/>
                      <w:lang w:val="en-US" w:eastAsia="zh-CN"/>
                    </w:rPr>
                    <w:t>个月检测一次；</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）法兰及其他连接件、其它密封设备至少每</w:t>
                  </w:r>
                  <w:r>
                    <w:rPr>
                      <w:rFonts w:hint="default" w:ascii="Times New Roman" w:hAnsi="Times New Roman" w:eastAsia="宋体" w:cs="Times New Roman"/>
                      <w:kern w:val="0"/>
                      <w:sz w:val="21"/>
                      <w:szCs w:val="21"/>
                      <w:lang w:val="en-US" w:eastAsia="zh-CN"/>
                    </w:rPr>
                    <w:t xml:space="preserve"> 12 </w:t>
                  </w:r>
                  <w:r>
                    <w:rPr>
                      <w:rFonts w:hint="eastAsia" w:ascii="Times New Roman" w:hAnsi="Times New Roman" w:eastAsia="宋体" w:cs="Times New Roman"/>
                      <w:kern w:val="0"/>
                      <w:sz w:val="21"/>
                      <w:szCs w:val="21"/>
                      <w:lang w:val="en-US" w:eastAsia="zh-CN"/>
                    </w:rPr>
                    <w:t>个月检测一次；</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）对于直接排放的泄压设备，在非泄压状态下进行泄漏检测；直接排放的泄压设备泄</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压后，应在泄压之日起</w:t>
                  </w:r>
                  <w:r>
                    <w:rPr>
                      <w:rFonts w:hint="default" w:ascii="Times New Roman" w:hAnsi="Times New Roman" w:eastAsia="宋体" w:cs="Times New Roman"/>
                      <w:kern w:val="0"/>
                      <w:sz w:val="21"/>
                      <w:szCs w:val="21"/>
                      <w:lang w:val="en-US" w:eastAsia="zh-CN"/>
                    </w:rPr>
                    <w:t xml:space="preserve"> 5 </w:t>
                  </w:r>
                  <w:r>
                    <w:rPr>
                      <w:rFonts w:hint="eastAsia" w:ascii="Times New Roman" w:hAnsi="Times New Roman" w:eastAsia="宋体" w:cs="Times New Roman"/>
                      <w:kern w:val="0"/>
                      <w:sz w:val="21"/>
                      <w:szCs w:val="21"/>
                      <w:lang w:val="en-US" w:eastAsia="zh-CN"/>
                    </w:rPr>
                    <w:t>个工作日之内，对泄压设备进行泄漏检测；</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d</w:t>
                  </w:r>
                  <w:r>
                    <w:rPr>
                      <w:rFonts w:hint="eastAsia" w:ascii="Times New Roman" w:hAnsi="Times New Roman" w:eastAsia="宋体" w:cs="Times New Roman"/>
                      <w:kern w:val="0"/>
                      <w:sz w:val="21"/>
                      <w:szCs w:val="21"/>
                      <w:lang w:val="en-US" w:eastAsia="zh-CN"/>
                    </w:rPr>
                    <w:t>）设备与管线组件初次启用或检维修后，应在</w:t>
                  </w:r>
                  <w:r>
                    <w:rPr>
                      <w:rFonts w:hint="default" w:ascii="Times New Roman" w:hAnsi="Times New Roman" w:eastAsia="宋体" w:cs="Times New Roman"/>
                      <w:kern w:val="0"/>
                      <w:sz w:val="21"/>
                      <w:szCs w:val="21"/>
                      <w:lang w:val="en-US" w:eastAsia="zh-CN"/>
                    </w:rPr>
                    <w:t xml:space="preserve"> 90 </w:t>
                  </w:r>
                  <w:r>
                    <w:rPr>
                      <w:rFonts w:hint="eastAsia" w:ascii="Times New Roman" w:hAnsi="Times New Roman" w:eastAsia="宋体" w:cs="Times New Roman"/>
                      <w:kern w:val="0"/>
                      <w:sz w:val="21"/>
                      <w:szCs w:val="21"/>
                      <w:lang w:val="en-US" w:eastAsia="zh-CN"/>
                    </w:rPr>
                    <w:t>天内进行泄漏检测。</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500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1C5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符合，本项目按照要求进行</w:t>
                  </w:r>
                  <w:r>
                    <w:rPr>
                      <w:rFonts w:hint="default"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设备与管线组件泄露进行检</w:t>
                  </w:r>
                  <w:r>
                    <w:rPr>
                      <w:rFonts w:hint="default"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侧，并及时处理泄露点。</w:t>
                  </w:r>
                </w:p>
              </w:tc>
            </w:tr>
            <w:tr w14:paraId="4CCF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C71C">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B501B">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4AD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每三个月用</w:t>
                  </w:r>
                  <w:r>
                    <w:rPr>
                      <w:rFonts w:hint="default" w:ascii="Times New Roman" w:hAnsi="Times New Roman" w:eastAsia="宋体" w:cs="Times New Roman"/>
                      <w:kern w:val="0"/>
                      <w:sz w:val="21"/>
                      <w:szCs w:val="21"/>
                      <w:lang w:val="en-US" w:eastAsia="zh-CN"/>
                    </w:rPr>
                    <w:t xml:space="preserve"> OGI </w:t>
                  </w:r>
                  <w:r>
                    <w:rPr>
                      <w:rFonts w:hint="eastAsia" w:ascii="Times New Roman" w:hAnsi="Times New Roman" w:eastAsia="宋体" w:cs="Times New Roman"/>
                      <w:kern w:val="0"/>
                      <w:sz w:val="21"/>
                      <w:szCs w:val="21"/>
                      <w:lang w:val="en-US" w:eastAsia="zh-CN"/>
                    </w:rPr>
                    <w:t>检测一次（发现泄漏点后，需采用</w:t>
                  </w:r>
                  <w:r>
                    <w:rPr>
                      <w:rFonts w:hint="default" w:ascii="Times New Roman" w:hAnsi="Times New Roman" w:eastAsia="宋体" w:cs="Times New Roman"/>
                      <w:kern w:val="0"/>
                      <w:sz w:val="21"/>
                      <w:szCs w:val="21"/>
                      <w:lang w:val="en-US" w:eastAsia="zh-CN"/>
                    </w:rPr>
                    <w:t xml:space="preserve">FID </w:t>
                  </w:r>
                  <w:r>
                    <w:rPr>
                      <w:rFonts w:hint="eastAsia" w:ascii="Times New Roman" w:hAnsi="Times New Roman" w:eastAsia="宋体" w:cs="Times New Roman"/>
                      <w:kern w:val="0"/>
                      <w:sz w:val="21"/>
                      <w:szCs w:val="21"/>
                      <w:lang w:val="en-US" w:eastAsia="zh-CN"/>
                    </w:rPr>
                    <w:t>检测仪定量确认）；新建装置或现有装置大修后应用</w:t>
                  </w:r>
                  <w:r>
                    <w:rPr>
                      <w:rFonts w:hint="default" w:ascii="Times New Roman" w:hAnsi="Times New Roman" w:eastAsia="宋体" w:cs="Times New Roman"/>
                      <w:kern w:val="0"/>
                      <w:sz w:val="21"/>
                      <w:szCs w:val="21"/>
                      <w:lang w:val="en-US" w:eastAsia="zh-CN"/>
                    </w:rPr>
                    <w:t xml:space="preserve">FID </w:t>
                  </w:r>
                  <w:r>
                    <w:rPr>
                      <w:rFonts w:hint="eastAsia" w:ascii="Times New Roman" w:hAnsi="Times New Roman" w:eastAsia="宋体" w:cs="Times New Roman"/>
                      <w:kern w:val="0"/>
                      <w:sz w:val="21"/>
                      <w:szCs w:val="21"/>
                      <w:lang w:val="en-US" w:eastAsia="zh-CN"/>
                    </w:rPr>
                    <w:t>检测仪进行一次定量检测。</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19C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62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目建成后，按要求执行</w:t>
                  </w:r>
                </w:p>
              </w:tc>
            </w:tr>
            <w:tr w14:paraId="0C91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2B85">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5A1EC">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8995">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气态</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物料，泄漏认定浓度</w:t>
                  </w:r>
                  <w:r>
                    <w:rPr>
                      <w:rFonts w:hint="default" w:ascii="Times New Roman" w:hAnsi="Times New Roman" w:eastAsia="宋体" w:cs="Times New Roman"/>
                      <w:kern w:val="0"/>
                      <w:sz w:val="21"/>
                      <w:szCs w:val="21"/>
                      <w:lang w:val="en-US" w:eastAsia="zh-CN"/>
                    </w:rPr>
                    <w:t xml:space="preserve"> 2000µmol/mol</w:t>
                  </w:r>
                  <w:r>
                    <w:rPr>
                      <w:rFonts w:hint="eastAsia" w:ascii="Times New Roman" w:hAnsi="Times New Roman" w:eastAsia="宋体" w:cs="Times New Roman"/>
                      <w:kern w:val="0"/>
                      <w:sz w:val="21"/>
                      <w:szCs w:val="21"/>
                      <w:lang w:val="en-US" w:eastAsia="zh-CN"/>
                    </w:rPr>
                    <w:t>；液态</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物料，挥发性有机液体泄</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漏认定浓度</w:t>
                  </w:r>
                  <w:r>
                    <w:rPr>
                      <w:rFonts w:hint="default" w:ascii="Times New Roman" w:hAnsi="Times New Roman" w:eastAsia="宋体" w:cs="Times New Roman"/>
                      <w:kern w:val="0"/>
                      <w:sz w:val="21"/>
                      <w:szCs w:val="21"/>
                      <w:lang w:val="en-US" w:eastAsia="zh-CN"/>
                    </w:rPr>
                    <w:t xml:space="preserve"> 2000 µmol/mol </w:t>
                  </w:r>
                  <w:r>
                    <w:rPr>
                      <w:rFonts w:hint="eastAsia" w:ascii="Times New Roman" w:hAnsi="Times New Roman" w:eastAsia="宋体" w:cs="Times New Roman"/>
                      <w:kern w:val="0"/>
                      <w:sz w:val="21"/>
                      <w:szCs w:val="21"/>
                      <w:lang w:val="en-US" w:eastAsia="zh-CN"/>
                    </w:rPr>
                    <w:t>，其他泄漏认定浓度</w:t>
                  </w:r>
                  <w:r>
                    <w:rPr>
                      <w:rFonts w:hint="default" w:ascii="Times New Roman" w:hAnsi="Times New Roman" w:eastAsia="宋体" w:cs="Times New Roman"/>
                      <w:kern w:val="0"/>
                      <w:sz w:val="21"/>
                      <w:szCs w:val="21"/>
                      <w:lang w:val="en-US" w:eastAsia="zh-CN"/>
                    </w:rPr>
                    <w:t>500µmol/mol</w:t>
                  </w:r>
                  <w:r>
                    <w:rPr>
                      <w:rFonts w:hint="eastAsia" w:ascii="Times New Roman" w:hAnsi="Times New Roman" w:eastAsia="宋体" w:cs="Times New Roman"/>
                      <w:kern w:val="0"/>
                      <w:sz w:val="21"/>
                      <w:szCs w:val="21"/>
                      <w:lang w:val="en-US" w:eastAsia="zh-CN"/>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F21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5AF1">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目建成后，按要求执行</w:t>
                  </w:r>
                </w:p>
              </w:tc>
            </w:tr>
            <w:tr w14:paraId="19F8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3F22">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036C4">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995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有机气体和挥发性有机液体流经的设备与管线组件泄漏检测值</w:t>
                  </w:r>
                  <w:r>
                    <w:rPr>
                      <w:rFonts w:hint="default" w:ascii="Times New Roman" w:hAnsi="Times New Roman" w:eastAsia="宋体" w:cs="Times New Roman"/>
                      <w:kern w:val="0"/>
                      <w:sz w:val="21"/>
                      <w:szCs w:val="21"/>
                      <w:lang w:val="en-US" w:eastAsia="zh-CN"/>
                    </w:rPr>
                    <w:t>≤500µmol/mol</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其他挥</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发性有机物流经的设备与管线组件泄漏检测值</w:t>
                  </w:r>
                  <w:r>
                    <w:rPr>
                      <w:rFonts w:hint="default" w:ascii="Times New Roman" w:hAnsi="Times New Roman" w:eastAsia="宋体" w:cs="Times New Roman"/>
                      <w:kern w:val="0"/>
                      <w:sz w:val="21"/>
                      <w:szCs w:val="21"/>
                      <w:lang w:val="en-US" w:eastAsia="zh-CN"/>
                    </w:rPr>
                    <w:t>≤100 µmol/mol</w:t>
                  </w:r>
                  <w:r>
                    <w:rPr>
                      <w:rFonts w:hint="eastAsia" w:ascii="Times New Roman" w:hAnsi="Times New Roman" w:eastAsia="宋体" w:cs="Times New Roman"/>
                      <w:kern w:val="0"/>
                      <w:sz w:val="21"/>
                      <w:szCs w:val="21"/>
                      <w:lang w:val="en-US" w:eastAsia="zh-CN"/>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7B5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440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目建成后，按要求执行</w:t>
                  </w:r>
                </w:p>
              </w:tc>
            </w:tr>
            <w:tr w14:paraId="564F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6242">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36</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81F4">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57E">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当检测到泄漏时，对泄漏源应予以表示并及时修复；发现泄漏之日起</w:t>
                  </w:r>
                  <w:r>
                    <w:rPr>
                      <w:rFonts w:hint="default" w:ascii="Times New Roman" w:hAnsi="Times New Roman" w:eastAsia="宋体" w:cs="Times New Roman"/>
                      <w:kern w:val="0"/>
                      <w:sz w:val="21"/>
                      <w:szCs w:val="21"/>
                      <w:lang w:val="en-US" w:eastAsia="zh-CN"/>
                    </w:rPr>
                    <w:t xml:space="preserve"> 5 </w:t>
                  </w:r>
                  <w:r>
                    <w:rPr>
                      <w:rFonts w:hint="eastAsia" w:ascii="Times New Roman" w:hAnsi="Times New Roman" w:eastAsia="宋体" w:cs="Times New Roman"/>
                      <w:kern w:val="0"/>
                      <w:sz w:val="21"/>
                      <w:szCs w:val="21"/>
                      <w:lang w:val="en-US" w:eastAsia="zh-CN"/>
                    </w:rPr>
                    <w:t>天内应进行首</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次修复；除纳入延迟维修的泄漏源，应在发现泄漏之日起</w:t>
                  </w:r>
                  <w:r>
                    <w:rPr>
                      <w:rFonts w:hint="default" w:ascii="Times New Roman" w:hAnsi="Times New Roman" w:eastAsia="宋体" w:cs="Times New Roman"/>
                      <w:kern w:val="0"/>
                      <w:sz w:val="21"/>
                      <w:szCs w:val="21"/>
                      <w:lang w:val="en-US" w:eastAsia="zh-CN"/>
                    </w:rPr>
                    <w:t xml:space="preserve"> 15 </w:t>
                  </w:r>
                  <w:r>
                    <w:rPr>
                      <w:rFonts w:hint="eastAsia" w:ascii="Times New Roman" w:hAnsi="Times New Roman" w:eastAsia="宋体" w:cs="Times New Roman"/>
                      <w:kern w:val="0"/>
                      <w:sz w:val="21"/>
                      <w:szCs w:val="21"/>
                      <w:lang w:val="en-US" w:eastAsia="zh-CN"/>
                    </w:rPr>
                    <w:t>天内完成修复。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76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D79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目建成后，按要求执行</w:t>
                  </w:r>
                </w:p>
              </w:tc>
            </w:tr>
            <w:tr w14:paraId="5C7A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E4AD">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37</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A00E6">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327D">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若泄漏浓度超过</w:t>
                  </w:r>
                  <w:r>
                    <w:rPr>
                      <w:rFonts w:hint="default" w:ascii="Times New Roman" w:hAnsi="Times New Roman" w:eastAsia="宋体" w:cs="Times New Roman"/>
                      <w:kern w:val="0"/>
                      <w:sz w:val="21"/>
                      <w:szCs w:val="21"/>
                      <w:lang w:val="en-US" w:eastAsia="zh-CN"/>
                    </w:rPr>
                    <w:t xml:space="preserve"> 10000μmol/mol </w:t>
                  </w:r>
                  <w:r>
                    <w:rPr>
                      <w:rFonts w:hint="eastAsia" w:ascii="Times New Roman" w:hAnsi="Times New Roman" w:eastAsia="宋体" w:cs="Times New Roman"/>
                      <w:kern w:val="0"/>
                      <w:sz w:val="21"/>
                      <w:szCs w:val="21"/>
                      <w:lang w:val="en-US" w:eastAsia="zh-CN"/>
                    </w:rPr>
                    <w:t>，企业宜在</w:t>
                  </w:r>
                  <w:r>
                    <w:rPr>
                      <w:rFonts w:hint="default" w:ascii="Times New Roman" w:hAnsi="Times New Roman" w:eastAsia="宋体" w:cs="Times New Roman"/>
                      <w:kern w:val="0"/>
                      <w:sz w:val="21"/>
                      <w:szCs w:val="21"/>
                      <w:lang w:val="en-US" w:eastAsia="zh-CN"/>
                    </w:rPr>
                    <w:t>48</w:t>
                  </w:r>
                  <w:r>
                    <w:rPr>
                      <w:rFonts w:hint="eastAsia" w:ascii="Times New Roman" w:hAnsi="Times New Roman" w:eastAsia="宋体" w:cs="Times New Roman"/>
                      <w:kern w:val="0"/>
                      <w:sz w:val="21"/>
                      <w:szCs w:val="21"/>
                      <w:lang w:val="en-US" w:eastAsia="zh-CN"/>
                    </w:rPr>
                    <w:t>小时内进行首次尝试维修。</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B23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04F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目建成后，按要求执行</w:t>
                  </w:r>
                </w:p>
              </w:tc>
            </w:tr>
            <w:tr w14:paraId="5930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1"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5129">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38</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8DD7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敞开液面</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945E">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对于工艺过程排放的含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废水，集输系统符合下列规定之一：</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）采用密闭管道输送，接入口和排出口采取与环境空气隔离的措施；</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）采用沟渠输送，若敞开液面上方</w:t>
                  </w:r>
                  <w:r>
                    <w:rPr>
                      <w:rFonts w:hint="default" w:ascii="Times New Roman" w:hAnsi="Times New Roman" w:eastAsia="宋体" w:cs="Times New Roman"/>
                      <w:kern w:val="0"/>
                      <w:sz w:val="21"/>
                      <w:szCs w:val="21"/>
                      <w:lang w:val="en-US" w:eastAsia="zh-CN"/>
                    </w:rPr>
                    <w:t xml:space="preserve"> 100 mm </w:t>
                  </w:r>
                  <w:r>
                    <w:rPr>
                      <w:rFonts w:hint="eastAsia" w:ascii="Times New Roman" w:hAnsi="Times New Roman" w:eastAsia="宋体" w:cs="Times New Roman"/>
                      <w:kern w:val="0"/>
                      <w:sz w:val="21"/>
                      <w:szCs w:val="21"/>
                      <w:lang w:val="en-US" w:eastAsia="zh-CN"/>
                    </w:rPr>
                    <w:t>处</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检测浓度</w:t>
                  </w:r>
                  <w:r>
                    <w:rPr>
                      <w:rFonts w:hint="default" w:ascii="Times New Roman" w:hAnsi="Times New Roman" w:eastAsia="宋体" w:cs="Times New Roman"/>
                      <w:kern w:val="0"/>
                      <w:sz w:val="21"/>
                      <w:szCs w:val="21"/>
                      <w:lang w:val="en-US" w:eastAsia="zh-CN"/>
                    </w:rPr>
                    <w:t>≥200 µmol/mol</w:t>
                  </w:r>
                  <w:r>
                    <w:rPr>
                      <w:rFonts w:hint="eastAsia" w:ascii="Times New Roman" w:hAnsi="Times New Roman" w:eastAsia="宋体" w:cs="Times New Roman"/>
                      <w:kern w:val="0"/>
                      <w:sz w:val="21"/>
                      <w:szCs w:val="21"/>
                      <w:lang w:val="en-US" w:eastAsia="zh-CN"/>
                    </w:rPr>
                    <w:t>，应加盖</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密闭，接入口和排出口采取与环境空气隔离的措施；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D68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7D8F">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64E8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DDC1">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39</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39768">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1A65">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废水储存和处理设施敞开液面上方</w:t>
                  </w:r>
                  <w:r>
                    <w:rPr>
                      <w:rFonts w:hint="default" w:ascii="Times New Roman" w:hAnsi="Times New Roman" w:eastAsia="宋体" w:cs="Times New Roman"/>
                      <w:kern w:val="0"/>
                      <w:sz w:val="21"/>
                      <w:szCs w:val="21"/>
                      <w:lang w:val="en-US" w:eastAsia="zh-CN"/>
                    </w:rPr>
                    <w:t xml:space="preserve"> 100 mm </w:t>
                  </w:r>
                  <w:r>
                    <w:rPr>
                      <w:rFonts w:hint="eastAsia" w:ascii="Times New Roman" w:hAnsi="Times New Roman" w:eastAsia="宋体" w:cs="Times New Roman"/>
                      <w:kern w:val="0"/>
                      <w:sz w:val="21"/>
                      <w:szCs w:val="21"/>
                      <w:lang w:val="en-US" w:eastAsia="zh-CN"/>
                    </w:rPr>
                    <w:t>处</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检测浓度</w:t>
                  </w:r>
                  <w:r>
                    <w:rPr>
                      <w:rFonts w:hint="default" w:ascii="Times New Roman" w:hAnsi="Times New Roman" w:eastAsia="宋体" w:cs="Times New Roman"/>
                      <w:kern w:val="0"/>
                      <w:sz w:val="21"/>
                      <w:szCs w:val="21"/>
                      <w:lang w:val="en-US" w:eastAsia="zh-CN"/>
                    </w:rPr>
                    <w:t>≥200 µmol/mol</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符合下列规定之一：</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）采用浮动顶盖；</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）采用固定顶盖，收集废气至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）其他等效措施。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893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978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711B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F27">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868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循环冷却水</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9E6F">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对于开式循环冷却水系统，每</w:t>
                  </w:r>
                  <w:r>
                    <w:rPr>
                      <w:rFonts w:hint="default" w:ascii="Times New Roman" w:hAnsi="Times New Roman" w:eastAsia="宋体" w:cs="Times New Roman"/>
                      <w:kern w:val="0"/>
                      <w:sz w:val="21"/>
                      <w:szCs w:val="21"/>
                      <w:lang w:val="en-US" w:eastAsia="zh-CN"/>
                    </w:rPr>
                    <w:t xml:space="preserve"> 6</w:t>
                  </w:r>
                  <w:r>
                    <w:rPr>
                      <w:rFonts w:hint="eastAsia" w:ascii="Times New Roman" w:hAnsi="Times New Roman" w:eastAsia="宋体" w:cs="Times New Roman"/>
                      <w:kern w:val="0"/>
                      <w:sz w:val="21"/>
                      <w:szCs w:val="21"/>
                      <w:lang w:val="en-US" w:eastAsia="zh-CN"/>
                    </w:rPr>
                    <w:t>个月对流经换热器进口和出口的的循环冷却水中的总</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有机碳（</w:t>
                  </w:r>
                  <w:r>
                    <w:rPr>
                      <w:rFonts w:hint="default" w:ascii="Times New Roman" w:hAnsi="Times New Roman" w:eastAsia="宋体" w:cs="Times New Roman"/>
                      <w:kern w:val="0"/>
                      <w:sz w:val="21"/>
                      <w:szCs w:val="21"/>
                      <w:lang w:val="en-US" w:eastAsia="zh-CN"/>
                    </w:rPr>
                    <w:t>TOC</w:t>
                  </w:r>
                  <w:r>
                    <w:rPr>
                      <w:rFonts w:hint="eastAsia" w:ascii="Times New Roman" w:hAnsi="Times New Roman" w:eastAsia="宋体" w:cs="Times New Roman"/>
                      <w:kern w:val="0"/>
                      <w:sz w:val="21"/>
                      <w:szCs w:val="21"/>
                      <w:lang w:val="en-US" w:eastAsia="zh-CN"/>
                    </w:rPr>
                    <w:t>）浓度进行检测，若出口浓度大于进口浓度</w:t>
                  </w:r>
                  <w:r>
                    <w:rPr>
                      <w:rFonts w:hint="default" w:ascii="Times New Roman" w:hAnsi="Times New Roman" w:eastAsia="宋体" w:cs="Times New Roman"/>
                      <w:kern w:val="0"/>
                      <w:sz w:val="21"/>
                      <w:szCs w:val="21"/>
                      <w:lang w:val="en-US" w:eastAsia="zh-CN"/>
                    </w:rPr>
                    <w:t xml:space="preserve"> 10% </w:t>
                  </w:r>
                  <w:r>
                    <w:rPr>
                      <w:rFonts w:hint="eastAsia" w:ascii="Times New Roman" w:hAnsi="Times New Roman" w:eastAsia="宋体" w:cs="Times New Roman"/>
                      <w:kern w:val="0"/>
                      <w:sz w:val="21"/>
                      <w:szCs w:val="21"/>
                      <w:lang w:val="en-US" w:eastAsia="zh-CN"/>
                    </w:rPr>
                    <w:t>，则认定发生了泄漏，</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应按照设备组件要求进行泄漏源修复与记录。</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69D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FA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72E0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38"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77122BF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b/>
                      <w:bCs/>
                      <w:kern w:val="0"/>
                      <w:sz w:val="21"/>
                      <w:szCs w:val="21"/>
                      <w:lang w:val="en-US" w:eastAsia="zh-CN"/>
                    </w:rPr>
                    <w:t>特别控制要求</w:t>
                  </w:r>
                </w:p>
              </w:tc>
            </w:tr>
            <w:tr w14:paraId="3862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A787">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900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储罐</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D07">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储存真实蒸气压</w:t>
                  </w:r>
                  <w:r>
                    <w:rPr>
                      <w:rFonts w:hint="default" w:ascii="Times New Roman" w:hAnsi="Times New Roman" w:eastAsia="宋体" w:cs="Times New Roman"/>
                      <w:kern w:val="0"/>
                      <w:sz w:val="21"/>
                      <w:szCs w:val="21"/>
                      <w:lang w:val="en-US" w:eastAsia="zh-CN"/>
                    </w:rPr>
                    <w:t xml:space="preserve">≥76.6kPa  </w:t>
                  </w:r>
                  <w:r>
                    <w:rPr>
                      <w:rFonts w:hint="eastAsia" w:ascii="Times New Roman" w:hAnsi="Times New Roman" w:eastAsia="宋体" w:cs="Times New Roman"/>
                      <w:kern w:val="0"/>
                      <w:sz w:val="21"/>
                      <w:szCs w:val="21"/>
                      <w:lang w:val="en-US" w:eastAsia="zh-CN"/>
                    </w:rPr>
                    <w:t>的挥发性有机液体储罐，采用低压罐、压力罐或其他等效措施。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DF9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A52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 xml:space="preserve"> 1 </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w:t>
                  </w:r>
                </w:p>
              </w:tc>
            </w:tr>
            <w:tr w14:paraId="02A6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8"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7D7B">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898A">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6C48">
                  <w:pPr>
                    <w:widowControl/>
                    <w:spacing w:line="240" w:lineRule="auto"/>
                    <w:ind w:firstLine="0" w:firstLineChars="0"/>
                    <w:jc w:val="left"/>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涂料、油墨及胶粘剂工业：储存真实蒸气压</w:t>
                  </w:r>
                  <w:r>
                    <w:rPr>
                      <w:rFonts w:hint="default" w:ascii="Times New Roman" w:hAnsi="Times New Roman" w:eastAsia="宋体" w:cs="Times New Roman"/>
                      <w:kern w:val="0"/>
                      <w:sz w:val="21"/>
                      <w:szCs w:val="21"/>
                      <w:lang w:val="en-US" w:eastAsia="zh-CN"/>
                    </w:rPr>
                    <w:t xml:space="preserve">≥10.3 kPa  </w:t>
                  </w:r>
                  <w:r>
                    <w:rPr>
                      <w:rFonts w:hint="eastAsia" w:ascii="Times New Roman" w:hAnsi="Times New Roman" w:eastAsia="宋体" w:cs="Times New Roman"/>
                      <w:kern w:val="0"/>
                      <w:sz w:val="21"/>
                      <w:szCs w:val="21"/>
                      <w:lang w:val="en-US" w:eastAsia="zh-CN"/>
                    </w:rPr>
                    <w:t>但＜</w:t>
                  </w:r>
                  <w:r>
                    <w:rPr>
                      <w:rFonts w:hint="default" w:ascii="Times New Roman" w:hAnsi="Times New Roman" w:eastAsia="宋体" w:cs="Times New Roman"/>
                      <w:kern w:val="0"/>
                      <w:sz w:val="21"/>
                      <w:szCs w:val="21"/>
                      <w:lang w:val="en-US" w:eastAsia="zh-CN"/>
                    </w:rPr>
                    <w:t xml:space="preserve">76.6 kPa </w:t>
                  </w:r>
                  <w:r>
                    <w:rPr>
                      <w:rFonts w:hint="eastAsia" w:ascii="Times New Roman" w:hAnsi="Times New Roman" w:eastAsia="宋体" w:cs="Times New Roman"/>
                      <w:kern w:val="0"/>
                      <w:sz w:val="21"/>
                      <w:szCs w:val="21"/>
                      <w:lang w:val="en-US" w:eastAsia="zh-CN"/>
                    </w:rPr>
                    <w:t>且储罐容积</w:t>
                  </w:r>
                  <w:r>
                    <w:rPr>
                      <w:rFonts w:hint="default" w:ascii="Times New Roman" w:hAnsi="Times New Roman" w:eastAsia="宋体" w:cs="Times New Roman"/>
                      <w:kern w:val="0"/>
                      <w:sz w:val="21"/>
                      <w:szCs w:val="21"/>
                      <w:lang w:val="en-US" w:eastAsia="zh-CN"/>
                    </w:rPr>
                    <w:t>≥20m3</w:t>
                  </w:r>
                  <w:r>
                    <w:rPr>
                      <w:rFonts w:hint="eastAsia" w:ascii="Times New Roman" w:hAnsi="Times New Roman" w:eastAsia="宋体" w:cs="Times New Roman"/>
                      <w:kern w:val="0"/>
                      <w:sz w:val="21"/>
                      <w:szCs w:val="21"/>
                      <w:lang w:val="en-US" w:eastAsia="zh-CN"/>
                    </w:rPr>
                    <w:t>的挥发性有机液体储罐，以及储存真实蒸气压</w:t>
                  </w:r>
                  <w:r>
                    <w:rPr>
                      <w:rFonts w:hint="default" w:ascii="Times New Roman" w:hAnsi="Times New Roman" w:eastAsia="宋体" w:cs="Times New Roman"/>
                      <w:kern w:val="0"/>
                      <w:sz w:val="21"/>
                      <w:szCs w:val="21"/>
                      <w:lang w:val="en-US" w:eastAsia="zh-CN"/>
                    </w:rPr>
                    <w:t xml:space="preserve">≥0.7 kPa  </w:t>
                  </w:r>
                  <w:r>
                    <w:rPr>
                      <w:rFonts w:hint="eastAsia" w:ascii="Times New Roman" w:hAnsi="Times New Roman" w:eastAsia="宋体" w:cs="Times New Roman"/>
                      <w:kern w:val="0"/>
                      <w:sz w:val="21"/>
                      <w:szCs w:val="21"/>
                      <w:lang w:val="en-US" w:eastAsia="zh-CN"/>
                    </w:rPr>
                    <w:t>但＜</w:t>
                  </w:r>
                  <w:r>
                    <w:rPr>
                      <w:rFonts w:hint="default" w:ascii="Times New Roman" w:hAnsi="Times New Roman" w:eastAsia="宋体" w:cs="Times New Roman"/>
                      <w:kern w:val="0"/>
                      <w:sz w:val="21"/>
                      <w:szCs w:val="21"/>
                      <w:lang w:val="en-US" w:eastAsia="zh-CN"/>
                    </w:rPr>
                    <w:t xml:space="preserve">10.3 kPa </w:t>
                  </w:r>
                  <w:r>
                    <w:rPr>
                      <w:rFonts w:hint="eastAsia" w:ascii="Times New Roman" w:hAnsi="Times New Roman" w:eastAsia="宋体" w:cs="Times New Roman"/>
                      <w:kern w:val="0"/>
                      <w:sz w:val="21"/>
                      <w:szCs w:val="21"/>
                      <w:lang w:val="en-US" w:eastAsia="zh-CN"/>
                    </w:rPr>
                    <w:t>且储罐容积</w:t>
                  </w:r>
                  <w:r>
                    <w:rPr>
                      <w:rFonts w:hint="default" w:ascii="Times New Roman" w:hAnsi="Times New Roman" w:eastAsia="宋体" w:cs="Times New Roman"/>
                      <w:kern w:val="0"/>
                      <w:sz w:val="21"/>
                      <w:szCs w:val="21"/>
                      <w:lang w:val="en-US" w:eastAsia="zh-CN"/>
                    </w:rPr>
                    <w:t>≥30m3</w:t>
                  </w:r>
                  <w:r>
                    <w:rPr>
                      <w:rFonts w:hint="eastAsia" w:ascii="Times New Roman" w:hAnsi="Times New Roman" w:eastAsia="宋体" w:cs="Times New Roman"/>
                      <w:kern w:val="0"/>
                      <w:sz w:val="21"/>
                      <w:szCs w:val="21"/>
                      <w:lang w:val="en-US" w:eastAsia="zh-CN"/>
                    </w:rPr>
                    <w:t>的挥发性有机液体储罐：</w:t>
                  </w:r>
                </w:p>
                <w:p w14:paraId="0D1CCC6C">
                  <w:pPr>
                    <w:widowControl/>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）采用浮顶罐，对于内浮顶罐，浮顶与罐壁之间采用浸液式密封、机械式鞋形密封等</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高效密封方式；对于外浮顶罐，浮顶与罐壁之间采用双重密封，且一次密封采用浸液</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式密封、机械式鞋形密封等高效密封方式；</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）采用固定顶罐，排放的废气收集处理，达标排放，或者处理效率不低于</w:t>
                  </w:r>
                  <w:r>
                    <w:rPr>
                      <w:rFonts w:hint="default" w:ascii="Times New Roman" w:hAnsi="Times New Roman" w:eastAsia="宋体" w:cs="Times New Roman"/>
                      <w:kern w:val="0"/>
                      <w:sz w:val="21"/>
                      <w:szCs w:val="21"/>
                      <w:lang w:val="en-US" w:eastAsia="zh-CN"/>
                    </w:rPr>
                    <w:t xml:space="preserve"> 80%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）采用气相平衡系统。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78D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5DB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084E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8"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78FC">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B346">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3BBB">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其他化工行业：储存真实蒸气压</w:t>
                  </w:r>
                  <w:r>
                    <w:rPr>
                      <w:rFonts w:hint="default" w:ascii="Times New Roman" w:hAnsi="Times New Roman" w:eastAsia="宋体" w:cs="Times New Roman"/>
                      <w:kern w:val="0"/>
                      <w:sz w:val="21"/>
                      <w:szCs w:val="21"/>
                      <w:lang w:val="en-US" w:eastAsia="zh-CN"/>
                    </w:rPr>
                    <w:t xml:space="preserve">≥27.6 kPa </w:t>
                  </w:r>
                  <w:r>
                    <w:rPr>
                      <w:rFonts w:hint="eastAsia" w:ascii="Times New Roman" w:hAnsi="Times New Roman" w:eastAsia="宋体" w:cs="Times New Roman"/>
                      <w:kern w:val="0"/>
                      <w:sz w:val="21"/>
                      <w:szCs w:val="21"/>
                      <w:lang w:val="en-US" w:eastAsia="zh-CN"/>
                    </w:rPr>
                    <w:t>但＜</w:t>
                  </w:r>
                  <w:r>
                    <w:rPr>
                      <w:rFonts w:hint="default" w:ascii="Times New Roman" w:hAnsi="Times New Roman" w:eastAsia="宋体" w:cs="Times New Roman"/>
                      <w:kern w:val="0"/>
                      <w:sz w:val="21"/>
                      <w:szCs w:val="21"/>
                      <w:lang w:val="en-US" w:eastAsia="zh-CN"/>
                    </w:rPr>
                    <w:t xml:space="preserve">76.6 kPa </w:t>
                  </w:r>
                  <w:r>
                    <w:rPr>
                      <w:rFonts w:hint="eastAsia" w:ascii="Times New Roman" w:hAnsi="Times New Roman" w:eastAsia="宋体" w:cs="Times New Roman"/>
                      <w:kern w:val="0"/>
                      <w:sz w:val="21"/>
                      <w:szCs w:val="21"/>
                      <w:lang w:val="en-US" w:eastAsia="zh-CN"/>
                    </w:rPr>
                    <w:t>且储罐容积</w:t>
                  </w:r>
                  <w:r>
                    <w:rPr>
                      <w:rFonts w:hint="default" w:ascii="Times New Roman" w:hAnsi="Times New Roman" w:eastAsia="宋体" w:cs="Times New Roman"/>
                      <w:kern w:val="0"/>
                      <w:sz w:val="21"/>
                      <w:szCs w:val="21"/>
                      <w:lang w:val="en-US" w:eastAsia="zh-CN"/>
                    </w:rPr>
                    <w:t xml:space="preserve">≥75 m3 </w:t>
                  </w:r>
                  <w:r>
                    <w:rPr>
                      <w:rFonts w:hint="eastAsia" w:ascii="Times New Roman" w:hAnsi="Times New Roman" w:eastAsia="宋体" w:cs="Times New Roman"/>
                      <w:kern w:val="0"/>
                      <w:sz w:val="21"/>
                      <w:szCs w:val="21"/>
                      <w:lang w:val="en-US" w:eastAsia="zh-CN"/>
                    </w:rPr>
                    <w:t>的挥发性有</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机液体储罐，以及储存真实蒸气压</w:t>
                  </w:r>
                  <w:r>
                    <w:rPr>
                      <w:rFonts w:hint="default" w:ascii="Times New Roman" w:hAnsi="Times New Roman" w:eastAsia="宋体" w:cs="Times New Roman"/>
                      <w:kern w:val="0"/>
                      <w:sz w:val="21"/>
                      <w:szCs w:val="21"/>
                      <w:lang w:val="en-US" w:eastAsia="zh-CN"/>
                    </w:rPr>
                    <w:t xml:space="preserve">≥5.2 kPa </w:t>
                  </w:r>
                  <w:r>
                    <w:rPr>
                      <w:rFonts w:hint="eastAsia" w:ascii="Times New Roman" w:hAnsi="Times New Roman" w:eastAsia="宋体" w:cs="Times New Roman"/>
                      <w:kern w:val="0"/>
                      <w:sz w:val="21"/>
                      <w:szCs w:val="21"/>
                      <w:lang w:val="en-US" w:eastAsia="zh-CN"/>
                    </w:rPr>
                    <w:t>但＜</w:t>
                  </w:r>
                  <w:r>
                    <w:rPr>
                      <w:rFonts w:hint="default" w:ascii="Times New Roman" w:hAnsi="Times New Roman" w:eastAsia="宋体" w:cs="Times New Roman"/>
                      <w:kern w:val="0"/>
                      <w:sz w:val="21"/>
                      <w:szCs w:val="21"/>
                      <w:lang w:val="en-US" w:eastAsia="zh-CN"/>
                    </w:rPr>
                    <w:t xml:space="preserve">27.6 kPa </w:t>
                  </w:r>
                  <w:r>
                    <w:rPr>
                      <w:rFonts w:hint="eastAsia" w:ascii="Times New Roman" w:hAnsi="Times New Roman" w:eastAsia="宋体" w:cs="Times New Roman"/>
                      <w:kern w:val="0"/>
                      <w:sz w:val="21"/>
                      <w:szCs w:val="21"/>
                      <w:lang w:val="en-US" w:eastAsia="zh-CN"/>
                    </w:rPr>
                    <w:t>且储罐容积</w:t>
                  </w:r>
                  <w:r>
                    <w:rPr>
                      <w:rFonts w:hint="default" w:ascii="Times New Roman" w:hAnsi="Times New Roman" w:eastAsia="宋体" w:cs="Times New Roman"/>
                      <w:kern w:val="0"/>
                      <w:sz w:val="21"/>
                      <w:szCs w:val="21"/>
                      <w:lang w:val="en-US" w:eastAsia="zh-CN"/>
                    </w:rPr>
                    <w:t xml:space="preserve">≥150 m3 </w:t>
                  </w:r>
                  <w:r>
                    <w:rPr>
                      <w:rFonts w:hint="eastAsia" w:ascii="Times New Roman" w:hAnsi="Times New Roman" w:eastAsia="宋体" w:cs="Times New Roman"/>
                      <w:kern w:val="0"/>
                      <w:sz w:val="21"/>
                      <w:szCs w:val="21"/>
                      <w:lang w:val="en-US" w:eastAsia="zh-CN"/>
                    </w:rPr>
                    <w:t>的挥发性有机液体储罐，符合下列规定之一：</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）采用浮顶罐，对于内浮顶罐，浮顶与罐壁之间采用浸液式密封、机械式鞋形密封等高效密封方式；对于外浮顶罐，浮顶与罐壁之间采用双重密封，且一次密封采用浸液</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式密封、机械式鞋形密封等高效密封方式；</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）采用固定顶罐，排放的废气收集处理达标排放，或者处理效率不低于</w:t>
                  </w:r>
                  <w:r>
                    <w:rPr>
                      <w:rFonts w:hint="default" w:ascii="Times New Roman" w:hAnsi="Times New Roman" w:eastAsia="宋体" w:cs="Times New Roman"/>
                      <w:kern w:val="0"/>
                      <w:sz w:val="21"/>
                      <w:szCs w:val="21"/>
                      <w:lang w:val="en-US" w:eastAsia="zh-CN"/>
                    </w:rPr>
                    <w:t>90%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）采用气相平衡系统。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A8B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AF7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3FD0F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CE77">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1A6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装载</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9DFD">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装载物料真实蒸气压</w:t>
                  </w:r>
                  <w:r>
                    <w:rPr>
                      <w:rFonts w:hint="default" w:ascii="Times New Roman" w:hAnsi="Times New Roman" w:eastAsia="宋体" w:cs="Times New Roman"/>
                      <w:kern w:val="0"/>
                      <w:sz w:val="21"/>
                      <w:szCs w:val="21"/>
                      <w:lang w:val="en-US" w:eastAsia="zh-CN"/>
                    </w:rPr>
                    <w:t xml:space="preserve">≥27.6 kPa </w:t>
                  </w:r>
                  <w:r>
                    <w:rPr>
                      <w:rFonts w:hint="eastAsia" w:ascii="Times New Roman" w:hAnsi="Times New Roman" w:eastAsia="宋体" w:cs="Times New Roman"/>
                      <w:kern w:val="0"/>
                      <w:sz w:val="21"/>
                      <w:szCs w:val="21"/>
                      <w:lang w:val="en-US" w:eastAsia="zh-CN"/>
                    </w:rPr>
                    <w:t>且单一装载设施的年装载量</w:t>
                  </w:r>
                  <w:r>
                    <w:rPr>
                      <w:rFonts w:hint="default" w:ascii="Times New Roman" w:hAnsi="Times New Roman" w:eastAsia="宋体" w:cs="Times New Roman"/>
                      <w:kern w:val="0"/>
                      <w:sz w:val="21"/>
                      <w:szCs w:val="21"/>
                      <w:lang w:val="en-US" w:eastAsia="zh-CN"/>
                    </w:rPr>
                    <w:t>≥500 m3</w:t>
                  </w:r>
                  <w:r>
                    <w:rPr>
                      <w:rFonts w:hint="eastAsia" w:ascii="Times New Roman" w:hAnsi="Times New Roman" w:eastAsia="宋体" w:cs="Times New Roman"/>
                      <w:kern w:val="0"/>
                      <w:sz w:val="21"/>
                      <w:szCs w:val="21"/>
                      <w:lang w:val="en-US" w:eastAsia="zh-CN"/>
                    </w:rPr>
                    <w:t>，以及装载物料真实蒸气压</w:t>
                  </w:r>
                  <w:r>
                    <w:rPr>
                      <w:rFonts w:hint="default" w:ascii="Times New Roman" w:hAnsi="Times New Roman" w:eastAsia="宋体" w:cs="Times New Roman"/>
                      <w:kern w:val="0"/>
                      <w:sz w:val="21"/>
                      <w:szCs w:val="21"/>
                      <w:lang w:val="en-US" w:eastAsia="zh-CN"/>
                    </w:rPr>
                    <w:t>≥5.2 kPa</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 xml:space="preserve">27.6 kPa </w:t>
                  </w:r>
                  <w:r>
                    <w:rPr>
                      <w:rFonts w:hint="eastAsia" w:ascii="Times New Roman" w:hAnsi="Times New Roman" w:eastAsia="宋体" w:cs="Times New Roman"/>
                      <w:kern w:val="0"/>
                      <w:sz w:val="21"/>
                      <w:szCs w:val="21"/>
                      <w:lang w:val="en-US" w:eastAsia="zh-CN"/>
                    </w:rPr>
                    <w:t>且单一装载设施的年装载量</w:t>
                  </w:r>
                  <w:r>
                    <w:rPr>
                      <w:rFonts w:hint="default" w:ascii="Times New Roman" w:hAnsi="Times New Roman" w:eastAsia="宋体" w:cs="Times New Roman"/>
                      <w:kern w:val="0"/>
                      <w:sz w:val="21"/>
                      <w:szCs w:val="21"/>
                      <w:lang w:val="en-US" w:eastAsia="zh-CN"/>
                    </w:rPr>
                    <w:t>≥2500 m3</w:t>
                  </w:r>
                  <w:r>
                    <w:rPr>
                      <w:rFonts w:hint="eastAsia" w:ascii="Times New Roman" w:hAnsi="Times New Roman" w:eastAsia="宋体" w:cs="Times New Roman"/>
                      <w:kern w:val="0"/>
                      <w:sz w:val="21"/>
                      <w:szCs w:val="21"/>
                      <w:lang w:val="en-US" w:eastAsia="zh-CN"/>
                    </w:rPr>
                    <w:t>，应符合下列规定之一：</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）排放的废气收集处理达标排放，或者处理效率不低于</w:t>
                  </w:r>
                  <w:r>
                    <w:rPr>
                      <w:rFonts w:hint="default" w:ascii="Times New Roman" w:hAnsi="Times New Roman" w:eastAsia="宋体" w:cs="Times New Roman"/>
                      <w:kern w:val="0"/>
                      <w:sz w:val="21"/>
                      <w:szCs w:val="21"/>
                      <w:lang w:val="en-US" w:eastAsia="zh-CN"/>
                    </w:rPr>
                    <w:t>90%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）排放的废气连接至气相平衡系统。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277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2D4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13046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9C82">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22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投料</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C10F">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涂料、油墨及胶粘剂工业高位槽（罐）进料时置换的废气应排至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系统或气相平衡系统。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85E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340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49F68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0E7C">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632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清洗</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D0EC">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涂料、油墨及胶粘剂工业移动缸及设备零件清洗时，采用密闭系统或在密闭空间内操</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作，废气排至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201F">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663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3169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2485">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EAF1">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实验室</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68C2">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涂料、油墨及胶粘剂工业若使用含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的化学品或</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物料进行实验，应使用通</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风橱（柜）或进行局部气体收集，废气应</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废气收集处理系统。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E74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040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2073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1"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0FAF">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48</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35AF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敞开液面</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7692">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对于工艺过程排放的含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废水，集输系统符合下列规定之一：</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）采用密闭管道输送，接入口和排出口采取与环境空气隔离的措施；</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）采用沟渠输送，若敞开液面上方</w:t>
                  </w:r>
                  <w:r>
                    <w:rPr>
                      <w:rFonts w:hint="default" w:ascii="Times New Roman" w:hAnsi="Times New Roman" w:eastAsia="宋体" w:cs="Times New Roman"/>
                      <w:kern w:val="0"/>
                      <w:sz w:val="21"/>
                      <w:szCs w:val="21"/>
                      <w:lang w:val="en-US" w:eastAsia="zh-CN"/>
                    </w:rPr>
                    <w:t xml:space="preserve"> 100 mm </w:t>
                  </w:r>
                  <w:r>
                    <w:rPr>
                      <w:rFonts w:hint="eastAsia" w:ascii="Times New Roman" w:hAnsi="Times New Roman" w:eastAsia="宋体" w:cs="Times New Roman"/>
                      <w:kern w:val="0"/>
                      <w:sz w:val="21"/>
                      <w:szCs w:val="21"/>
                      <w:lang w:val="en-US" w:eastAsia="zh-CN"/>
                    </w:rPr>
                    <w:t>处</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检测浓度</w:t>
                  </w:r>
                  <w:r>
                    <w:rPr>
                      <w:rFonts w:hint="default" w:ascii="Times New Roman" w:hAnsi="Times New Roman" w:eastAsia="宋体" w:cs="Times New Roman"/>
                      <w:kern w:val="0"/>
                      <w:sz w:val="21"/>
                      <w:szCs w:val="21"/>
                      <w:lang w:val="en-US" w:eastAsia="zh-CN"/>
                    </w:rPr>
                    <w:t>≥100 µmol/mol</w:t>
                  </w:r>
                  <w:r>
                    <w:rPr>
                      <w:rFonts w:hint="eastAsia" w:ascii="Times New Roman" w:hAnsi="Times New Roman" w:eastAsia="宋体" w:cs="Times New Roman"/>
                      <w:kern w:val="0"/>
                      <w:sz w:val="21"/>
                      <w:szCs w:val="21"/>
                      <w:lang w:val="en-US" w:eastAsia="zh-CN"/>
                    </w:rPr>
                    <w:t>，应加盖</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密闭，接入口和排出口采取与环境空气隔离的措施。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6FF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B9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2DAE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F656">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49</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52E34">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CEBA">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废水储存和处理设施敞开液面上方</w:t>
                  </w:r>
                  <w:r>
                    <w:rPr>
                      <w:rFonts w:hint="default" w:ascii="Times New Roman" w:hAnsi="Times New Roman" w:eastAsia="宋体" w:cs="Times New Roman"/>
                      <w:kern w:val="0"/>
                      <w:sz w:val="21"/>
                      <w:szCs w:val="21"/>
                      <w:lang w:val="en-US" w:eastAsia="zh-CN"/>
                    </w:rPr>
                    <w:t xml:space="preserve"> 100 mm </w:t>
                  </w:r>
                  <w:r>
                    <w:rPr>
                      <w:rFonts w:hint="eastAsia" w:ascii="Times New Roman" w:hAnsi="Times New Roman" w:eastAsia="宋体" w:cs="Times New Roman"/>
                      <w:kern w:val="0"/>
                      <w:sz w:val="21"/>
                      <w:szCs w:val="21"/>
                      <w:lang w:val="en-US" w:eastAsia="zh-CN"/>
                    </w:rPr>
                    <w:t>处</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检测浓度</w:t>
                  </w:r>
                  <w:r>
                    <w:rPr>
                      <w:rFonts w:hint="default" w:ascii="Times New Roman" w:hAnsi="Times New Roman" w:eastAsia="宋体" w:cs="Times New Roman"/>
                      <w:kern w:val="0"/>
                      <w:sz w:val="21"/>
                      <w:szCs w:val="21"/>
                      <w:lang w:val="en-US" w:eastAsia="zh-CN"/>
                    </w:rPr>
                    <w:t>≥100 µmol/mol</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符合下列规定之一：</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）采用浮动顶盖；</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）采用固定顶盖，收集废气至</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废气收集处理系统。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1E01">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35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17F8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7838"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0B7B39F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b/>
                      <w:bCs/>
                      <w:kern w:val="0"/>
                      <w:sz w:val="21"/>
                      <w:szCs w:val="21"/>
                      <w:lang w:val="en-US" w:eastAsia="zh-CN"/>
                    </w:rPr>
                    <w:t>末端治理</w:t>
                  </w:r>
                </w:p>
              </w:tc>
            </w:tr>
            <w:tr w14:paraId="7995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CBB0">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50</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7810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废气收集</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E60A">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采用外部集气罩的，距集气罩开口面最远处的</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无组织排放位置，控制风速不低于</w:t>
                  </w:r>
                  <w:r>
                    <w:rPr>
                      <w:rFonts w:hint="default" w:ascii="Times New Roman" w:hAnsi="Times New Roman" w:eastAsia="宋体" w:cs="Times New Roman"/>
                      <w:kern w:val="0"/>
                      <w:sz w:val="21"/>
                      <w:szCs w:val="21"/>
                      <w:lang w:val="en-US" w:eastAsia="zh-CN"/>
                    </w:rPr>
                    <w:t>0.3m/s</w:t>
                  </w:r>
                  <w:r>
                    <w:rPr>
                      <w:rFonts w:hint="eastAsia" w:ascii="Times New Roman" w:hAnsi="Times New Roman" w:eastAsia="宋体" w:cs="Times New Roman"/>
                      <w:kern w:val="0"/>
                      <w:sz w:val="21"/>
                      <w:szCs w:val="21"/>
                      <w:lang w:val="en-US" w:eastAsia="zh-CN"/>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51E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033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符合、本项目外部集气罩设计控制风速为</w:t>
                  </w:r>
                  <w:r>
                    <w:rPr>
                      <w:rFonts w:hint="default" w:ascii="Times New Roman" w:hAnsi="Times New Roman" w:eastAsia="宋体" w:cs="Times New Roman"/>
                      <w:kern w:val="0"/>
                      <w:sz w:val="21"/>
                      <w:szCs w:val="21"/>
                      <w:lang w:val="en-US" w:eastAsia="zh-CN"/>
                    </w:rPr>
                    <w:t>0.5m/S</w:t>
                  </w:r>
                </w:p>
              </w:tc>
            </w:tr>
            <w:tr w14:paraId="1D46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7E19">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51</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B32F">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B6FC">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废气收集系统的输送管道应密闭。废气收集系统应在负压下运行，若处于正压状态，应对管道组件的密封点进行泄漏检测，泄漏检测值不应超过</w:t>
                  </w:r>
                  <w:r>
                    <w:rPr>
                      <w:rFonts w:hint="default" w:ascii="Times New Roman" w:hAnsi="Times New Roman" w:eastAsia="宋体" w:cs="Times New Roman"/>
                      <w:kern w:val="0"/>
                      <w:sz w:val="21"/>
                      <w:szCs w:val="21"/>
                      <w:lang w:val="en-US" w:eastAsia="zh-CN"/>
                    </w:rPr>
                    <w:t xml:space="preserve"> 500μmol/mol</w:t>
                  </w:r>
                  <w:r>
                    <w:rPr>
                      <w:rFonts w:hint="eastAsia" w:ascii="Times New Roman" w:hAnsi="Times New Roman" w:eastAsia="宋体" w:cs="Times New Roman"/>
                      <w:kern w:val="0"/>
                      <w:sz w:val="21"/>
                      <w:szCs w:val="21"/>
                      <w:lang w:val="en-US" w:eastAsia="zh-CN"/>
                    </w:rPr>
                    <w:t>，亦不应有感官可察觉泄漏。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630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8F0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本项目废气收集系统采用密闭管道输送，建设后按照要求进行泄漏检测</w:t>
                  </w:r>
                </w:p>
              </w:tc>
            </w:tr>
            <w:tr w14:paraId="18A3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F355">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52</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6EF7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末端治理与</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排放水平</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2259">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优先选用冷凝、吸附再生等回收技术；难以回收的，宜选用燃烧、吸附浓缩</w:t>
                  </w:r>
                  <w:r>
                    <w:rPr>
                      <w:rFonts w:hint="default" w:ascii="Times New Roman" w:hAnsi="Times New Roman" w:eastAsia="宋体" w:cs="Times New Roman"/>
                      <w:kern w:val="0"/>
                      <w:sz w:val="21"/>
                      <w:szCs w:val="21"/>
                      <w:lang w:val="en-US" w:eastAsia="zh-CN"/>
                    </w:rPr>
                    <w:t>+</w:t>
                  </w:r>
                  <w:r>
                    <w:rPr>
                      <w:rFonts w:hint="eastAsia" w:ascii="Times New Roman" w:hAnsi="Times New Roman" w:eastAsia="宋体" w:cs="Times New Roman"/>
                      <w:kern w:val="0"/>
                      <w:sz w:val="21"/>
                      <w:szCs w:val="21"/>
                      <w:lang w:val="en-US" w:eastAsia="zh-CN"/>
                    </w:rPr>
                    <w:t>燃烧等高效治理技术。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4F5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6CA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符合、本项目采用</w:t>
                  </w:r>
                  <w:r>
                    <w:rPr>
                      <w:rFonts w:hint="default" w:ascii="Times New Roman" w:hAnsi="Times New Roman" w:eastAsia="宋体" w:cs="Times New Roman"/>
                      <w:kern w:val="0"/>
                      <w:sz w:val="21"/>
                      <w:szCs w:val="21"/>
                      <w:lang w:val="en-US" w:eastAsia="zh-CN"/>
                    </w:rPr>
                    <w:t>“</w:t>
                  </w:r>
                  <w:r>
                    <w:rPr>
                      <w:rFonts w:hint="eastAsia" w:ascii="Times New Roman" w:hAnsi="Times New Roman" w:eastAsia="宋体" w:cs="Times New Roman"/>
                      <w:kern w:val="0"/>
                      <w:sz w:val="21"/>
                      <w:szCs w:val="21"/>
                      <w:lang w:val="en-US" w:eastAsia="zh-CN"/>
                    </w:rPr>
                    <w:t>二级活性炭吸附装置</w:t>
                  </w:r>
                  <w:r>
                    <w:rPr>
                      <w:rFonts w:hint="default" w:ascii="Times New Roman" w:hAnsi="Times New Roman" w:eastAsia="宋体" w:cs="Times New Roman"/>
                      <w:kern w:val="0"/>
                      <w:sz w:val="21"/>
                      <w:szCs w:val="21"/>
                      <w:lang w:val="en-US" w:eastAsia="zh-CN"/>
                    </w:rPr>
                    <w:t>”</w:t>
                  </w:r>
                  <w:r>
                    <w:rPr>
                      <w:rFonts w:hint="eastAsia" w:ascii="Times New Roman" w:hAnsi="Times New Roman" w:eastAsia="宋体" w:cs="Times New Roman"/>
                      <w:kern w:val="0"/>
                      <w:sz w:val="21"/>
                      <w:szCs w:val="21"/>
                      <w:lang w:val="en-US" w:eastAsia="zh-CN"/>
                    </w:rPr>
                    <w:t>对有机废气进行处理</w:t>
                  </w:r>
                </w:p>
              </w:tc>
            </w:tr>
            <w:tr w14:paraId="051F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8C6E">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FE8E">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42E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水溶性、酸碱</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废气宜选用多级化学吸收等处理技术。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14E1">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319">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-10</w:t>
                  </w:r>
                </w:p>
              </w:tc>
            </w:tr>
            <w:tr w14:paraId="01A90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2627">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CF18">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3972">
                  <w:pPr>
                    <w:widowControl/>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 xml:space="preserve">1 </w:t>
                  </w:r>
                  <w:r>
                    <w:rPr>
                      <w:rFonts w:hint="eastAsia" w:ascii="Times New Roman" w:hAnsi="Times New Roman" w:eastAsia="宋体" w:cs="Times New Roman"/>
                      <w:kern w:val="0"/>
                      <w:sz w:val="21"/>
                      <w:szCs w:val="21"/>
                      <w:lang w:val="en-US" w:eastAsia="zh-CN"/>
                    </w:rPr>
                    <w:t>、涂料、油墨及胶粘剂工业企业有机废气排气筒排放浓度不高于《涂料、油墨及胶粘</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剂工业大气污染物排放标准》（</w:t>
                  </w:r>
                  <w:r>
                    <w:rPr>
                      <w:rFonts w:hint="default" w:ascii="Times New Roman" w:hAnsi="Times New Roman" w:eastAsia="宋体" w:cs="Times New Roman"/>
                      <w:kern w:val="0"/>
                      <w:sz w:val="21"/>
                      <w:szCs w:val="21"/>
                      <w:lang w:val="en-US" w:eastAsia="zh-CN"/>
                    </w:rPr>
                    <w:t>GB 37824-2019</w:t>
                  </w:r>
                  <w:r>
                    <w:rPr>
                      <w:rFonts w:hint="eastAsia" w:ascii="Times New Roman" w:hAnsi="Times New Roman" w:eastAsia="宋体" w:cs="Times New Roman"/>
                      <w:kern w:val="0"/>
                      <w:sz w:val="21"/>
                      <w:szCs w:val="21"/>
                      <w:lang w:val="en-US" w:eastAsia="zh-CN"/>
                    </w:rPr>
                    <w:t>）排放限值要求，其他无行业标准的企</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业有机废气排气筒排放浓度不高于广东省《大气污染物排放限值》（</w:t>
                  </w:r>
                  <w:r>
                    <w:rPr>
                      <w:rFonts w:hint="default" w:ascii="Times New Roman" w:hAnsi="Times New Roman" w:eastAsia="宋体" w:cs="Times New Roman"/>
                      <w:kern w:val="0"/>
                      <w:sz w:val="21"/>
                      <w:szCs w:val="21"/>
                      <w:lang w:val="en-US" w:eastAsia="zh-CN"/>
                    </w:rPr>
                    <w:t>DB4427-2001</w:t>
                  </w:r>
                  <w:r>
                    <w:rPr>
                      <w:rFonts w:hint="eastAsia" w:ascii="Times New Roman" w:hAnsi="Times New Roman" w:eastAsia="宋体" w:cs="Times New Roman"/>
                      <w:kern w:val="0"/>
                      <w:sz w:val="21"/>
                      <w:szCs w:val="21"/>
                      <w:lang w:val="en-US" w:eastAsia="zh-CN"/>
                    </w:rPr>
                    <w:t>）第</w:t>
                  </w:r>
                  <w:r>
                    <w:rPr>
                      <w:rFonts w:hint="default" w:ascii="Times New Roman" w:hAnsi="Times New Roman" w:eastAsia="宋体" w:cs="Times New Roman"/>
                      <w:kern w:val="0"/>
                      <w:sz w:val="21"/>
                      <w:szCs w:val="21"/>
                      <w:lang w:val="en-US" w:eastAsia="zh-CN"/>
                    </w:rPr>
                    <w:t xml:space="preserve"> Ⅱ</w:t>
                  </w:r>
                  <w:r>
                    <w:rPr>
                      <w:rFonts w:hint="eastAsia" w:ascii="Times New Roman" w:hAnsi="Times New Roman" w:eastAsia="宋体" w:cs="Times New Roman"/>
                      <w:kern w:val="0"/>
                      <w:sz w:val="21"/>
                      <w:szCs w:val="21"/>
                      <w:lang w:val="en-US" w:eastAsia="zh-CN"/>
                    </w:rPr>
                    <w:t>时段排放限值，若国家和我省出台并实施适用于该行业的大气污染物排放标准，则</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有机废气排气筒排放浓度不高于相应的排放限值；若收集的废气中</w:t>
                  </w:r>
                  <w:r>
                    <w:rPr>
                      <w:rFonts w:hint="default" w:ascii="Times New Roman" w:hAnsi="Times New Roman" w:eastAsia="宋体" w:cs="Times New Roman"/>
                      <w:kern w:val="0"/>
                      <w:sz w:val="21"/>
                      <w:szCs w:val="21"/>
                      <w:lang w:val="en-US" w:eastAsia="zh-CN"/>
                    </w:rPr>
                    <w:t xml:space="preserve">NMHC </w:t>
                  </w:r>
                  <w:r>
                    <w:rPr>
                      <w:rFonts w:hint="eastAsia" w:ascii="Times New Roman" w:hAnsi="Times New Roman" w:eastAsia="宋体" w:cs="Times New Roman"/>
                      <w:kern w:val="0"/>
                      <w:sz w:val="21"/>
                      <w:szCs w:val="21"/>
                      <w:lang w:val="en-US" w:eastAsia="zh-CN"/>
                    </w:rPr>
                    <w:t>初始排放速</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率</w:t>
                  </w:r>
                  <w:r>
                    <w:rPr>
                      <w:rFonts w:hint="default" w:ascii="Times New Roman" w:hAnsi="Times New Roman" w:eastAsia="宋体" w:cs="Times New Roman"/>
                      <w:kern w:val="0"/>
                      <w:sz w:val="21"/>
                      <w:szCs w:val="21"/>
                      <w:lang w:val="en-US" w:eastAsia="zh-CN"/>
                    </w:rPr>
                    <w:t xml:space="preserve">≥3kg/h </w:t>
                  </w:r>
                  <w:r>
                    <w:rPr>
                      <w:rFonts w:hint="eastAsia" w:ascii="Times New Roman" w:hAnsi="Times New Roman" w:eastAsia="宋体" w:cs="Times New Roman"/>
                      <w:kern w:val="0"/>
                      <w:sz w:val="21"/>
                      <w:szCs w:val="21"/>
                      <w:lang w:val="en-US" w:eastAsia="zh-CN"/>
                    </w:rPr>
                    <w:t>，处理效率</w:t>
                  </w:r>
                  <w:r>
                    <w:rPr>
                      <w:rFonts w:hint="default" w:ascii="Times New Roman" w:hAnsi="Times New Roman" w:eastAsia="宋体" w:cs="Times New Roman"/>
                      <w:kern w:val="0"/>
                      <w:sz w:val="21"/>
                      <w:szCs w:val="21"/>
                      <w:lang w:val="en-US" w:eastAsia="zh-CN"/>
                    </w:rPr>
                    <w:t>≥80%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、厂区内无组织排放监控点</w:t>
                  </w:r>
                  <w:r>
                    <w:rPr>
                      <w:rFonts w:hint="default" w:ascii="Times New Roman" w:hAnsi="Times New Roman" w:eastAsia="宋体" w:cs="Times New Roman"/>
                      <w:kern w:val="0"/>
                      <w:sz w:val="21"/>
                      <w:szCs w:val="21"/>
                      <w:lang w:val="en-US" w:eastAsia="zh-CN"/>
                    </w:rPr>
                    <w:t xml:space="preserve"> NMHC </w:t>
                  </w:r>
                  <w:r>
                    <w:rPr>
                      <w:rFonts w:hint="eastAsia" w:ascii="Times New Roman" w:hAnsi="Times New Roman" w:eastAsia="宋体" w:cs="Times New Roman"/>
                      <w:kern w:val="0"/>
                      <w:sz w:val="21"/>
                      <w:szCs w:val="21"/>
                      <w:lang w:val="en-US" w:eastAsia="zh-CN"/>
                    </w:rPr>
                    <w:t>的小时平均浓度值不超过</w:t>
                  </w:r>
                  <w:r>
                    <w:rPr>
                      <w:rFonts w:hint="default" w:ascii="Times New Roman" w:hAnsi="Times New Roman" w:eastAsia="宋体" w:cs="Times New Roman"/>
                      <w:kern w:val="0"/>
                      <w:sz w:val="21"/>
                      <w:szCs w:val="21"/>
                      <w:lang w:val="en-US" w:eastAsia="zh-CN"/>
                    </w:rPr>
                    <w:t xml:space="preserve"> 6 mg/m3</w:t>
                  </w:r>
                  <w:r>
                    <w:rPr>
                      <w:rFonts w:hint="eastAsia" w:ascii="Times New Roman" w:hAnsi="Times New Roman" w:eastAsia="宋体" w:cs="Times New Roman"/>
                      <w:kern w:val="0"/>
                      <w:sz w:val="21"/>
                      <w:szCs w:val="21"/>
                      <w:lang w:val="en-US" w:eastAsia="zh-CN"/>
                    </w:rPr>
                    <w:t>，任意一次浓度</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值不超过</w:t>
                  </w:r>
                  <w:r>
                    <w:rPr>
                      <w:rFonts w:hint="default" w:ascii="Times New Roman" w:hAnsi="Times New Roman" w:eastAsia="宋体" w:cs="Times New Roman"/>
                      <w:kern w:val="0"/>
                      <w:sz w:val="21"/>
                      <w:szCs w:val="21"/>
                      <w:lang w:val="en-US" w:eastAsia="zh-CN"/>
                    </w:rPr>
                    <w:t xml:space="preserve"> 20 mg/m3</w:t>
                  </w:r>
                  <w:r>
                    <w:rPr>
                      <w:rFonts w:hint="eastAsia" w:ascii="Times New Roman" w:hAnsi="Times New Roman" w:eastAsia="宋体" w:cs="Times New Roman"/>
                      <w:kern w:val="0"/>
                      <w:sz w:val="21"/>
                      <w:szCs w:val="21"/>
                      <w:lang w:val="en-US" w:eastAsia="zh-CN"/>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83E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31D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3A6F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84C6">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55</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61CE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治理设施设计</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与运行管理</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8E48">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吸附床（含活性炭吸附法）：</w:t>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）预处理设备应根据废气的成分、性质和影响吸附过程的物质性质及含量进行选择；</w:t>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）吸附床层的吸附剂用量应根据废气处理量、污染物浓度和吸附剂的动态吸附量确定；</w:t>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）吸附剂应及时更换或有效再生。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E62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A8D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符合，本项目根据活性炭更换量根据废气处理量、污染物浓度和吸附剂的动态吸附量进行设计</w:t>
                  </w:r>
                </w:p>
              </w:tc>
            </w:tr>
            <w:tr w14:paraId="346F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46B1">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56</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253D">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931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催化燃烧：</w:t>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）预处理设备应根据废气的成分、性质和污染物的含量进行选择；</w:t>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）进</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入燃烧室的气体温度应达到气体组分在催化剂上的起燃温度。</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842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911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2C6B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A98">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57</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499E9">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122E">
                  <w:pPr>
                    <w:widowControl/>
                    <w:spacing w:line="240" w:lineRule="auto"/>
                    <w:ind w:firstLine="0" w:firstLineChars="0"/>
                    <w:jc w:val="left"/>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蓄热燃烧：</w:t>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）预处理工艺应根据废气的成分、性质和污染物的含量等因素进行选择；</w:t>
                  </w:r>
                </w:p>
                <w:p w14:paraId="63B288E0">
                  <w:pPr>
                    <w:widowControl/>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）废气在燃烧室的停留时间一般不宜低于</w:t>
                  </w:r>
                  <w:r>
                    <w:rPr>
                      <w:rFonts w:hint="default" w:ascii="Times New Roman" w:hAnsi="Times New Roman" w:eastAsia="宋体" w:cs="Times New Roman"/>
                      <w:kern w:val="0"/>
                      <w:sz w:val="21"/>
                      <w:szCs w:val="21"/>
                      <w:lang w:val="en-US" w:eastAsia="zh-CN"/>
                    </w:rPr>
                    <w:t xml:space="preserve">0.75s </w:t>
                  </w:r>
                  <w:r>
                    <w:rPr>
                      <w:rFonts w:hint="eastAsia" w:ascii="Times New Roman" w:hAnsi="Times New Roman" w:eastAsia="宋体" w:cs="Times New Roman"/>
                      <w:kern w:val="0"/>
                      <w:sz w:val="21"/>
                      <w:szCs w:val="21"/>
                      <w:lang w:val="en-US" w:eastAsia="zh-CN"/>
                    </w:rPr>
                    <w:t>，燃烧室燃烧温度一般应高于</w:t>
                  </w:r>
                  <w:r>
                    <w:rPr>
                      <w:rFonts w:hint="default" w:ascii="Times New Roman" w:hAnsi="Times New Roman" w:eastAsia="宋体" w:cs="Times New Roman"/>
                      <w:kern w:val="0"/>
                      <w:sz w:val="21"/>
                      <w:szCs w:val="21"/>
                      <w:lang w:val="en-US" w:eastAsia="zh-CN"/>
                    </w:rPr>
                    <w:t xml:space="preserve"> 760℃</w:t>
                  </w:r>
                  <w:r>
                    <w:rPr>
                      <w:rFonts w:hint="eastAsia" w:ascii="Times New Roman" w:hAnsi="Times New Roman" w:eastAsia="宋体" w:cs="Times New Roman"/>
                      <w:kern w:val="0"/>
                      <w:sz w:val="21"/>
                      <w:szCs w:val="21"/>
                      <w:lang w:val="en-US" w:eastAsia="zh-CN"/>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088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推荐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D65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6B3B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B7D3">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58</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6A70">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E4BF">
                  <w:pPr>
                    <w:widowControl/>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治理设施应与生产工艺设备同步运行，</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治理设施发生故障或检修时，对应的生产工艺设备应停止运行，待检修完毕后同步投入使用；生产工艺设备不能停止运</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行或不能及时停止运行的，应设置废气应急处理设施或采取其他替代措施。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A779">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57E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项目建设后按要求进行管理</w:t>
                  </w:r>
                </w:p>
              </w:tc>
            </w:tr>
            <w:tr w14:paraId="7EEA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7838"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7FA3FEB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环境管理</w:t>
                  </w:r>
                </w:p>
              </w:tc>
            </w:tr>
            <w:tr w14:paraId="1920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FC76">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59</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A845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管理台账</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63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原辅材料台账，记录含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原辅材料的名称及其</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含量、采购量、</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使用量、库存量、含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原辅材料回收方式及回收量。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772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FB2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符合、项目建成后按照要求进行管理</w:t>
                  </w:r>
                </w:p>
              </w:tc>
            </w:tr>
            <w:tr w14:paraId="77AF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F72E">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60</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E898">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297E">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建立密封点台账，记录密封点检测时间、泄漏检测浓度、修复时间、采取的修复措施、</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修复后的泄漏检测浓度等信息。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F4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251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符合、项目建成后按照要求进行管理</w:t>
                  </w:r>
                </w:p>
              </w:tc>
            </w:tr>
            <w:tr w14:paraId="1D2E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F53C">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61</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0B5EC">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F6F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建立有机液体储存台账，记录有机液体物料名称、储罐类型及密封方式、储存温度、</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周转量、油气回收量等信息。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A17F">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B97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符合、项目建成后按照要求进行管理</w:t>
                  </w:r>
                </w:p>
              </w:tc>
            </w:tr>
            <w:tr w14:paraId="3C69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9DE6">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4ED1A">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8FC2">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建立有机液体装载台账，记录有机液体物料名称、装载方式、装载量、油气回收量等</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信息。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E65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AC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符合、项目建成后按照要求进行管理</w:t>
                  </w:r>
                </w:p>
              </w:tc>
            </w:tr>
            <w:tr w14:paraId="55B4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55C5">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963F4">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F67C">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建立废水集输、储存处理处置台账，记录废水量、废水集输方式（密闭管道、沟渠）、</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废水处理设施密闭情况、进出水逸散性挥发性有机物（</w:t>
                  </w:r>
                  <w:r>
                    <w:rPr>
                      <w:rFonts w:hint="default" w:ascii="Times New Roman" w:hAnsi="Times New Roman" w:eastAsia="宋体" w:cs="Times New Roman"/>
                      <w:kern w:val="0"/>
                      <w:sz w:val="21"/>
                      <w:szCs w:val="21"/>
                      <w:lang w:val="en-US" w:eastAsia="zh-CN"/>
                    </w:rPr>
                    <w:t>EVOCs</w:t>
                  </w:r>
                  <w:r>
                    <w:rPr>
                      <w:rFonts w:hint="eastAsia" w:ascii="Times New Roman" w:hAnsi="Times New Roman" w:eastAsia="宋体" w:cs="Times New Roman"/>
                      <w:kern w:val="0"/>
                      <w:sz w:val="21"/>
                      <w:szCs w:val="21"/>
                      <w:lang w:val="en-US" w:eastAsia="zh-CN"/>
                    </w:rPr>
                    <w:t>）检测浓度等信息。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B4F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792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3A79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E5EC">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CC4D">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F8F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建立循环冷却水系统台账，记录检测时间、循环水塔进出口</w:t>
                  </w:r>
                  <w:r>
                    <w:rPr>
                      <w:rFonts w:hint="default" w:ascii="Times New Roman" w:hAnsi="Times New Roman" w:eastAsia="宋体" w:cs="Times New Roman"/>
                      <w:kern w:val="0"/>
                      <w:sz w:val="21"/>
                      <w:szCs w:val="21"/>
                      <w:lang w:val="en-US" w:eastAsia="zh-CN"/>
                    </w:rPr>
                    <w:t xml:space="preserve"> TOC </w:t>
                  </w:r>
                  <w:r>
                    <w:rPr>
                      <w:rFonts w:hint="eastAsia" w:ascii="Times New Roman" w:hAnsi="Times New Roman" w:eastAsia="宋体" w:cs="Times New Roman"/>
                      <w:kern w:val="0"/>
                      <w:sz w:val="21"/>
                      <w:szCs w:val="21"/>
                      <w:lang w:val="en-US" w:eastAsia="zh-CN"/>
                    </w:rPr>
                    <w:t>或</w:t>
                  </w:r>
                  <w:r>
                    <w:rPr>
                      <w:rFonts w:hint="default" w:ascii="Times New Roman" w:hAnsi="Times New Roman" w:eastAsia="宋体" w:cs="Times New Roman"/>
                      <w:kern w:val="0"/>
                      <w:sz w:val="21"/>
                      <w:szCs w:val="21"/>
                      <w:lang w:val="en-US" w:eastAsia="zh-CN"/>
                    </w:rPr>
                    <w:t xml:space="preserve"> POC </w:t>
                  </w:r>
                  <w:r>
                    <w:rPr>
                      <w:rFonts w:hint="eastAsia" w:ascii="Times New Roman" w:hAnsi="Times New Roman" w:eastAsia="宋体" w:cs="Times New Roman"/>
                      <w:kern w:val="0"/>
                      <w:sz w:val="21"/>
                      <w:szCs w:val="21"/>
                      <w:lang w:val="en-US" w:eastAsia="zh-CN"/>
                    </w:rPr>
                    <w:t>浓度、含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物料换热设备进出口</w:t>
                  </w:r>
                  <w:r>
                    <w:rPr>
                      <w:rFonts w:hint="default" w:ascii="Times New Roman" w:hAnsi="Times New Roman" w:eastAsia="宋体" w:cs="Times New Roman"/>
                      <w:kern w:val="0"/>
                      <w:sz w:val="21"/>
                      <w:szCs w:val="21"/>
                      <w:lang w:val="en-US" w:eastAsia="zh-CN"/>
                    </w:rPr>
                    <w:t xml:space="preserve"> TOC </w:t>
                  </w:r>
                  <w:r>
                    <w:rPr>
                      <w:rFonts w:hint="eastAsia" w:ascii="Times New Roman" w:hAnsi="Times New Roman" w:eastAsia="宋体" w:cs="Times New Roman"/>
                      <w:kern w:val="0"/>
                      <w:sz w:val="21"/>
                      <w:szCs w:val="21"/>
                      <w:lang w:val="en-US" w:eastAsia="zh-CN"/>
                    </w:rPr>
                    <w:t>或</w:t>
                  </w:r>
                  <w:r>
                    <w:rPr>
                      <w:rFonts w:hint="default" w:ascii="Times New Roman" w:hAnsi="Times New Roman" w:eastAsia="宋体" w:cs="Times New Roman"/>
                      <w:kern w:val="0"/>
                      <w:sz w:val="21"/>
                      <w:szCs w:val="21"/>
                      <w:lang w:val="en-US" w:eastAsia="zh-CN"/>
                    </w:rPr>
                    <w:t xml:space="preserve"> POC </w:t>
                  </w:r>
                  <w:r>
                    <w:rPr>
                      <w:rFonts w:hint="eastAsia" w:ascii="Times New Roman" w:hAnsi="Times New Roman" w:eastAsia="宋体" w:cs="Times New Roman"/>
                      <w:kern w:val="0"/>
                      <w:sz w:val="21"/>
                      <w:szCs w:val="21"/>
                      <w:lang w:val="en-US" w:eastAsia="zh-CN"/>
                    </w:rPr>
                    <w:t>浓度、修复时间、修复措施、修复后进出口</w:t>
                  </w:r>
                  <w:r>
                    <w:rPr>
                      <w:rFonts w:hint="default" w:ascii="Times New Roman" w:hAnsi="Times New Roman" w:eastAsia="宋体" w:cs="Times New Roman"/>
                      <w:kern w:val="0"/>
                      <w:sz w:val="21"/>
                      <w:szCs w:val="21"/>
                      <w:lang w:val="en-US" w:eastAsia="zh-CN"/>
                    </w:rPr>
                    <w:t xml:space="preserve"> TOC </w:t>
                  </w:r>
                  <w:r>
                    <w:rPr>
                      <w:rFonts w:hint="eastAsia" w:ascii="Times New Roman" w:hAnsi="Times New Roman" w:eastAsia="宋体" w:cs="Times New Roman"/>
                      <w:kern w:val="0"/>
                      <w:sz w:val="21"/>
                      <w:szCs w:val="21"/>
                      <w:lang w:val="en-US" w:eastAsia="zh-CN"/>
                    </w:rPr>
                    <w:t>或</w:t>
                  </w:r>
                  <w:r>
                    <w:rPr>
                      <w:rFonts w:hint="default" w:ascii="Times New Roman" w:hAnsi="Times New Roman" w:eastAsia="宋体" w:cs="Times New Roman"/>
                      <w:kern w:val="0"/>
                      <w:sz w:val="21"/>
                      <w:szCs w:val="21"/>
                      <w:lang w:val="en-US" w:eastAsia="zh-CN"/>
                    </w:rPr>
                    <w:t xml:space="preserve"> POC </w:t>
                  </w:r>
                  <w:r>
                    <w:rPr>
                      <w:rFonts w:hint="eastAsia" w:ascii="Times New Roman" w:hAnsi="Times New Roman" w:eastAsia="宋体" w:cs="Times New Roman"/>
                      <w:kern w:val="0"/>
                      <w:sz w:val="21"/>
                      <w:szCs w:val="21"/>
                      <w:lang w:val="en-US" w:eastAsia="zh-CN"/>
                    </w:rPr>
                    <w:t>浓度等信息。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B2E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344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658C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F042">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57746">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258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建立非正常工况排放台账，记录开停工、检维修时间，退料、吹扫、清洗等过程含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物料回收情况，</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废气收集处理情况，开车阶段产生的易挥发性不合格品的产量和收集情况。</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653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EBA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符合、项目建成后按照要求进行管理</w:t>
                  </w:r>
                </w:p>
              </w:tc>
            </w:tr>
            <w:tr w14:paraId="300D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9E9A">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66</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980F">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2F83">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建立火炬（含地面火炬）排放台账，记录火炬运行时间、燃料消耗量、火炬气流量等</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信息。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803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B98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14CF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C25D">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67</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56C6F">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9B45">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建立事故排放台账，记录事故类别、时间、处置情况等。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6B20">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A8E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符合、项目建成后按照要求进行管理</w:t>
                  </w:r>
                </w:p>
              </w:tc>
            </w:tr>
            <w:tr w14:paraId="4D63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1"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54B3">
                  <w:pPr>
                    <w:widowControl/>
                    <w:spacing w:line="240" w:lineRule="auto"/>
                    <w:ind w:firstLine="0" w:firstLineChars="0"/>
                    <w:jc w:val="center"/>
                    <w:rPr>
                      <w:rFonts w:hint="default" w:ascii="Times New Roman" w:hAnsi="Times New Roman" w:eastAsia="宋体" w:cs="Times New Roman"/>
                      <w:kern w:val="0"/>
                      <w:sz w:val="21"/>
                      <w:szCs w:val="21"/>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E95C">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EC1B">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建立废气治理装置运行状况、设施维护台账，主要记录内容包括：治理设施的启动、</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停止时间；吸收剂、吸附剂、过滤材料、催化剂、还原剂等的治理分析数据、采购量、</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使用量及更换时间等；治理装置运行工艺控制参数，包括进出口污染物浓度、温度、</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床层压降等；主要设备维修情况；运行事故及处理、整改情况；定期检验、评价及评</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估情况等。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683A">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E93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符合、项目建成后按照要求进行管理</w:t>
                  </w:r>
                </w:p>
              </w:tc>
            </w:tr>
            <w:tr w14:paraId="0099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3BFE">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69</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E5E37">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60B9">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建立危废台账，整理危废处置合同、转移联单及危废处理方资质佐证材料。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61D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5C4">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符合、项目建成后按照要求进行管理</w:t>
                  </w:r>
                </w:p>
              </w:tc>
            </w:tr>
            <w:tr w14:paraId="4E6C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78A8">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70</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4B799">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12B0">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台账保存期限不少于</w:t>
                  </w:r>
                  <w:r>
                    <w:rPr>
                      <w:rFonts w:hint="default" w:ascii="Times New Roman" w:hAnsi="Times New Roman" w:eastAsia="宋体" w:cs="Times New Roman"/>
                      <w:kern w:val="0"/>
                      <w:sz w:val="21"/>
                      <w:szCs w:val="21"/>
                      <w:lang w:val="en-US" w:eastAsia="zh-CN"/>
                    </w:rPr>
                    <w:t xml:space="preserve">3 </w:t>
                  </w:r>
                  <w:r>
                    <w:rPr>
                      <w:rFonts w:hint="eastAsia" w:ascii="Times New Roman" w:hAnsi="Times New Roman" w:eastAsia="宋体" w:cs="Times New Roman"/>
                      <w:kern w:val="0"/>
                      <w:sz w:val="21"/>
                      <w:szCs w:val="21"/>
                      <w:lang w:val="en-US" w:eastAsia="zh-CN"/>
                    </w:rPr>
                    <w:t>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DB1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67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符合、项目建成后按照要求进行管理</w:t>
                  </w:r>
                </w:p>
              </w:tc>
            </w:tr>
            <w:tr w14:paraId="6E12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F3FD">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59</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CBEA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自行监测</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917C">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农药制造工业：</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）原料储存（罐区等）排气筒每季度监测一次非甲烷总烃，每年监测一次特征污染物</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（待农药制造工业大气污染物排放标准发布后，从其规定，下同）；</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）备料投料、化学合成、提存分离、溶剂回收、车间通风系统、车间内无组织废气收</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集等生产工艺过程废气处理设施排气筒每月监测一次非甲烷总烃，每半年监测一次特</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征污染物；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）生物发酵废气处理设施排气筒每月监测一次非甲烷总烃，每半年监测一次臭气浓度、</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特征污染物；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d</w:t>
                  </w:r>
                  <w:r>
                    <w:rPr>
                      <w:rFonts w:hint="eastAsia" w:ascii="Times New Roman" w:hAnsi="Times New Roman" w:eastAsia="宋体" w:cs="Times New Roman"/>
                      <w:kern w:val="0"/>
                      <w:sz w:val="21"/>
                      <w:szCs w:val="21"/>
                      <w:lang w:val="en-US" w:eastAsia="zh-CN"/>
                    </w:rPr>
                    <w:t>）废水处理设施、危废暂存场所排气筒每季度监测一次非甲烷总烃，每年监测一次臭</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气浓度、特征污染物；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e</w:t>
                  </w:r>
                  <w:r>
                    <w:rPr>
                      <w:rFonts w:hint="eastAsia" w:ascii="Times New Roman" w:hAnsi="Times New Roman" w:eastAsia="宋体" w:cs="Times New Roman"/>
                      <w:kern w:val="0"/>
                      <w:sz w:val="21"/>
                      <w:szCs w:val="21"/>
                      <w:lang w:val="en-US" w:eastAsia="zh-CN"/>
                    </w:rPr>
                    <w:t>）厂界无组织废气监测点每半年监测一次颗粒物、臭气浓度、非甲烷总烃和特征污染</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6191">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B4C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53C4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8"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DD91">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60</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FFC24">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3FFB">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化肥工业</w:t>
                  </w:r>
                  <w:r>
                    <w:rPr>
                      <w:rFonts w:hint="default" w:ascii="Times New Roman" w:hAnsi="Times New Roman" w:eastAsia="宋体" w:cs="Times New Roman"/>
                      <w:kern w:val="0"/>
                      <w:sz w:val="21"/>
                      <w:szCs w:val="21"/>
                      <w:lang w:val="en-US" w:eastAsia="zh-CN"/>
                    </w:rPr>
                    <w:t>-</w:t>
                  </w:r>
                  <w:r>
                    <w:rPr>
                      <w:rFonts w:hint="eastAsia" w:ascii="Times New Roman" w:hAnsi="Times New Roman" w:eastAsia="宋体" w:cs="Times New Roman"/>
                      <w:kern w:val="0"/>
                      <w:sz w:val="21"/>
                      <w:szCs w:val="21"/>
                      <w:lang w:val="en-US" w:eastAsia="zh-CN"/>
                    </w:rPr>
                    <w:t>氮肥：</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）合成氨（</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固定床常压煤气化工艺）造气废水池废气收集处理设施排气筒每季度监测</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一次非甲烷总烃、酚类、氨、硫化氢、氰化氢，原料气净化脱碳气提塔排气筒每季度</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监测一次非甲烷总烃、氨、硫化氢；</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）合成氨（干煤粉气流床气化工艺）煤粉输送及加压进料系统煤仓排气筒每年监测一</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次甲醇、硫化氢，低温甲醇洗尾气洗涤塔排气筒每季度监测一次甲醇、硫化氢；</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）合成氨（水煤浆气流床气化工艺）低温甲醇洗尾气洗涤塔排气筒每季度监测一次甲醇、硫化氢；</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d</w:t>
                  </w:r>
                  <w:r>
                    <w:rPr>
                      <w:rFonts w:hint="eastAsia" w:ascii="Times New Roman" w:hAnsi="Times New Roman" w:eastAsia="宋体" w:cs="Times New Roman"/>
                      <w:kern w:val="0"/>
                      <w:sz w:val="21"/>
                      <w:szCs w:val="21"/>
                      <w:lang w:val="en-US" w:eastAsia="zh-CN"/>
                    </w:rPr>
                    <w:t>）合成氨（碎煤固定床加压气化工艺）酸性气体脱除设施排气筒每季度监测一次甲醇、</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非甲烷总烃、二氧化硫、氮氧化物；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e</w:t>
                  </w:r>
                  <w:r>
                    <w:rPr>
                      <w:rFonts w:hint="eastAsia" w:ascii="Times New Roman" w:hAnsi="Times New Roman" w:eastAsia="宋体" w:cs="Times New Roman"/>
                      <w:kern w:val="0"/>
                      <w:sz w:val="21"/>
                      <w:szCs w:val="21"/>
                      <w:lang w:val="en-US" w:eastAsia="zh-CN"/>
                    </w:rPr>
                    <w:t>）合成氨（重油部分氧化法）低温甲醇洗尾气洗涤塔排气筒每季度监测一次甲醇、硫</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化氢；</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f</w:t>
                  </w:r>
                  <w:r>
                    <w:rPr>
                      <w:rFonts w:hint="eastAsia" w:ascii="Times New Roman" w:hAnsi="Times New Roman" w:eastAsia="宋体" w:cs="Times New Roman"/>
                      <w:kern w:val="0"/>
                      <w:sz w:val="21"/>
                      <w:szCs w:val="21"/>
                      <w:lang w:val="en-US" w:eastAsia="zh-CN"/>
                    </w:rPr>
                    <w:t>）尿素（造粒塔或造粒机）排气筒每季度监测一次甲醛、颗粒物和氨；</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g</w:t>
                  </w:r>
                  <w:r>
                    <w:rPr>
                      <w:rFonts w:hint="eastAsia" w:ascii="Times New Roman" w:hAnsi="Times New Roman" w:eastAsia="宋体" w:cs="Times New Roman"/>
                      <w:kern w:val="0"/>
                      <w:sz w:val="21"/>
                      <w:szCs w:val="21"/>
                      <w:lang w:val="en-US" w:eastAsia="zh-CN"/>
                    </w:rPr>
                    <w:t>）污水处理废水收集处理设施排气筒每季度监测一次非甲烷总烃，每半年监测一次酚</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类、硫化氢和氨；</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h</w:t>
                  </w:r>
                  <w:r>
                    <w:rPr>
                      <w:rFonts w:hint="eastAsia" w:ascii="Times New Roman" w:hAnsi="Times New Roman" w:eastAsia="宋体" w:cs="Times New Roman"/>
                      <w:kern w:val="0"/>
                      <w:sz w:val="21"/>
                      <w:szCs w:val="21"/>
                      <w:lang w:val="en-US" w:eastAsia="zh-CN"/>
                    </w:rPr>
                    <w:t>）厂界无组织废气监测点每季度监测一次氨、非甲烷总烃、臭气浓度、硫化氢，每年</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监测一次颗粒物、甲醇、苯并（</w:t>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）芘、酚类。</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7F76">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DBA5">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305F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8"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A2EB">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61</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9DEC2">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54D9">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涂料、油墨及胶粘剂工业：</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）原料储存（储罐）废气排气筒每季度监测一次非甲烷总烃，每半年监测一次苯和苯</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系物，每年监测一次总挥发性有机物；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）混合、研磨、调配、过滤、储槽、包装、清洗等工序非燃烧法工艺有机废气处理设</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施排气筒每月监测一次非甲烷总烃，每季度监测一次苯、苯系物、异氰酸酯类，每半</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年监测一次总挥发性有机物；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）混合、研磨、调配、过滤、储槽、包装、清洗等工序燃烧法工艺有机废气处理设施</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排气筒每月监测一次非甲烷总烃，每季度监测一次苯、苯系物、异氰酸酯类、二氧化</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硫、氮氧化物和颗粒物，每半年监测一次总挥发性有机物，每年监测一次二噁英类；</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d</w:t>
                  </w:r>
                  <w:r>
                    <w:rPr>
                      <w:rFonts w:hint="eastAsia" w:ascii="Times New Roman" w:hAnsi="Times New Roman" w:eastAsia="宋体" w:cs="Times New Roman"/>
                      <w:kern w:val="0"/>
                      <w:sz w:val="21"/>
                      <w:szCs w:val="21"/>
                      <w:lang w:val="en-US" w:eastAsia="zh-CN"/>
                    </w:rPr>
                    <w:t>）实验室有机废气排气筒每季度监测一次非甲烷总烃；</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e</w:t>
                  </w:r>
                  <w:r>
                    <w:rPr>
                      <w:rFonts w:hint="eastAsia" w:ascii="Times New Roman" w:hAnsi="Times New Roman" w:eastAsia="宋体" w:cs="Times New Roman"/>
                      <w:kern w:val="0"/>
                      <w:sz w:val="21"/>
                      <w:szCs w:val="21"/>
                      <w:lang w:val="en-US" w:eastAsia="zh-CN"/>
                    </w:rPr>
                    <w:t>）污水处理设施废气排气筒每半年监测一次非甲烷总烃、臭气浓度、氨和硫化氢；</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f</w:t>
                  </w:r>
                  <w:r>
                    <w:rPr>
                      <w:rFonts w:hint="eastAsia" w:ascii="Times New Roman" w:hAnsi="Times New Roman" w:eastAsia="宋体" w:cs="Times New Roman"/>
                      <w:kern w:val="0"/>
                      <w:sz w:val="21"/>
                      <w:szCs w:val="21"/>
                      <w:lang w:val="en-US" w:eastAsia="zh-CN"/>
                    </w:rPr>
                    <w:t>）厂界无组织废气监测点每半年监测一次苯。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A527">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D58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1C5E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2"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3E6">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A4D18">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A874">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无机化学工业：</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a</w:t>
                  </w:r>
                  <w:r>
                    <w:rPr>
                      <w:rFonts w:hint="eastAsia" w:ascii="Times New Roman" w:hAnsi="Times New Roman" w:eastAsia="宋体" w:cs="Times New Roman"/>
                      <w:kern w:val="0"/>
                      <w:sz w:val="21"/>
                      <w:szCs w:val="21"/>
                      <w:lang w:val="en-US" w:eastAsia="zh-CN"/>
                    </w:rPr>
                    <w:t>）破碎、粉碎工序每半年监测一次颗粒物和特征污染物（为排污单位所执行的污染物</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排放标准、环境影响评价文件及其批复、排污许可证等相关环境管理规定中列明的相</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关污染物指标，下同）；</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b</w:t>
                  </w:r>
                  <w:r>
                    <w:rPr>
                      <w:rFonts w:hint="eastAsia" w:ascii="Times New Roman" w:hAnsi="Times New Roman" w:eastAsia="宋体" w:cs="Times New Roman"/>
                      <w:kern w:val="0"/>
                      <w:sz w:val="21"/>
                      <w:szCs w:val="21"/>
                      <w:lang w:val="en-US" w:eastAsia="zh-CN"/>
                    </w:rPr>
                    <w:t>）熔（煅）烧工序每季度监测一次特征污染物；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c</w:t>
                  </w:r>
                  <w:r>
                    <w:rPr>
                      <w:rFonts w:hint="eastAsia" w:ascii="Times New Roman" w:hAnsi="Times New Roman" w:eastAsia="宋体" w:cs="Times New Roman"/>
                      <w:kern w:val="0"/>
                      <w:sz w:val="21"/>
                      <w:szCs w:val="21"/>
                      <w:lang w:val="en-US" w:eastAsia="zh-CN"/>
                    </w:rPr>
                    <w:t>）浸取、溶解、沉淀、酸溶、酸化、碱溶、蒸发、结晶、洗涤、蒸馏、过滤、分离、</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熔化熔融每半年监测一次特征污染物；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d</w:t>
                  </w:r>
                  <w:r>
                    <w:rPr>
                      <w:rFonts w:hint="eastAsia" w:ascii="Times New Roman" w:hAnsi="Times New Roman" w:eastAsia="宋体" w:cs="Times New Roman"/>
                      <w:kern w:val="0"/>
                      <w:sz w:val="21"/>
                      <w:szCs w:val="21"/>
                      <w:lang w:val="en-US" w:eastAsia="zh-CN"/>
                    </w:rPr>
                    <w:t>）反应每季度监测一次特征污染物；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e</w:t>
                  </w:r>
                  <w:r>
                    <w:rPr>
                      <w:rFonts w:hint="eastAsia" w:ascii="Times New Roman" w:hAnsi="Times New Roman" w:eastAsia="宋体" w:cs="Times New Roman"/>
                      <w:kern w:val="0"/>
                      <w:sz w:val="21"/>
                      <w:szCs w:val="21"/>
                      <w:lang w:val="en-US" w:eastAsia="zh-CN"/>
                    </w:rPr>
                    <w:t>）干燥每半年监测一次特征污染物、颗粒物、二氧化硫、氮氧化物；</w:t>
                  </w:r>
                  <w:r>
                    <w:rPr>
                      <w:rFonts w:hint="default" w:ascii="Times New Roman" w:hAnsi="Times New Roman" w:eastAsia="宋体" w:cs="Times New Roman"/>
                      <w:kern w:val="0"/>
                      <w:sz w:val="21"/>
                      <w:szCs w:val="21"/>
                      <w:lang w:val="en-US" w:eastAsia="zh-CN"/>
                    </w:rPr>
                    <w:br w:type="textWrapping"/>
                  </w:r>
                  <w:r>
                    <w:rPr>
                      <w:rFonts w:hint="default" w:ascii="Times New Roman" w:hAnsi="Times New Roman" w:eastAsia="宋体" w:cs="Times New Roman"/>
                      <w:kern w:val="0"/>
                      <w:sz w:val="21"/>
                      <w:szCs w:val="21"/>
                      <w:lang w:val="en-US" w:eastAsia="zh-CN"/>
                    </w:rPr>
                    <w:t>f</w:t>
                  </w:r>
                  <w:r>
                    <w:rPr>
                      <w:rFonts w:hint="eastAsia" w:ascii="Times New Roman" w:hAnsi="Times New Roman" w:eastAsia="宋体" w:cs="Times New Roman"/>
                      <w:kern w:val="0"/>
                      <w:sz w:val="21"/>
                      <w:szCs w:val="21"/>
                      <w:lang w:val="en-US" w:eastAsia="zh-CN"/>
                    </w:rPr>
                    <w:t>）筛分、造粒、成品包装每半年监测一次颗粒物、特征污染物。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FF9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AA7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不涉及</w:t>
                  </w:r>
                </w:p>
              </w:tc>
            </w:tr>
            <w:tr w14:paraId="2A1D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0749">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EE3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危废管理</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300">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工艺过程产生的含</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废料（渣、液）应按照相关要求进行储存、转移和输送。盛</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装过</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物料的废包装容器应加盖密闭。</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D0F2">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3E73">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符合，项目建设后，按照要求执行</w:t>
                  </w:r>
                </w:p>
              </w:tc>
            </w:tr>
            <w:tr w14:paraId="7824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7838"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06DB5D3D">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b/>
                      <w:bCs/>
                      <w:kern w:val="0"/>
                      <w:sz w:val="21"/>
                      <w:szCs w:val="21"/>
                      <w:lang w:val="en-US" w:eastAsia="zh-CN"/>
                    </w:rPr>
                    <w:t>其他</w:t>
                  </w:r>
                </w:p>
              </w:tc>
            </w:tr>
            <w:tr w14:paraId="4B71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502D">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64</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B3B5C">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建设项目</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总量管理</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38CB">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新、改、扩建项目应执行总量替代制度，明确</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总量指标来源。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5EEE">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DCCF">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符合，本项目按照要求执行</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lang w:val="en-US" w:eastAsia="zh-CN"/>
                    </w:rPr>
                    <w:t>总量替代制</w:t>
                  </w:r>
                  <w:r>
                    <w:rPr>
                      <w:rFonts w:hint="default"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度。</w:t>
                  </w:r>
                </w:p>
              </w:tc>
            </w:tr>
            <w:tr w14:paraId="42B4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9D2E">
                  <w:pPr>
                    <w:widowControl/>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6B284">
                  <w:pPr>
                    <w:widowControl/>
                    <w:spacing w:line="240" w:lineRule="auto"/>
                    <w:ind w:firstLine="0" w:firstLineChars="0"/>
                    <w:jc w:val="center"/>
                    <w:rPr>
                      <w:rFonts w:hint="default" w:ascii="Times New Roman" w:hAnsi="Times New Roman" w:eastAsia="宋体" w:cs="Times New Roman"/>
                      <w:kern w:val="0"/>
                      <w:sz w:val="21"/>
                      <w:szCs w:val="21"/>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0C25">
                  <w:pPr>
                    <w:widowControl/>
                    <w:spacing w:line="240" w:lineRule="auto"/>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新、改、扩建项目和现有企业</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排放量参照《广东省石油化工行业</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排放量计算方法》和《广东省涂料油墨制造行业</w:t>
                  </w:r>
                  <w:r>
                    <w:rPr>
                      <w:rFonts w:hint="default" w:ascii="Times New Roman" w:hAnsi="Times New Roman" w:eastAsia="宋体" w:cs="Times New Roman"/>
                      <w:kern w:val="0"/>
                      <w:sz w:val="21"/>
                      <w:szCs w:val="21"/>
                      <w:lang w:val="en-US" w:eastAsia="zh-CN"/>
                    </w:rPr>
                    <w:t xml:space="preserve"> VOCs </w:t>
                  </w:r>
                  <w:r>
                    <w:rPr>
                      <w:rFonts w:hint="eastAsia" w:ascii="Times New Roman" w:hAnsi="Times New Roman" w:eastAsia="宋体" w:cs="Times New Roman"/>
                      <w:kern w:val="0"/>
                      <w:sz w:val="21"/>
                      <w:szCs w:val="21"/>
                      <w:lang w:val="en-US" w:eastAsia="zh-CN"/>
                    </w:rPr>
                    <w:t>排放量计算方法》进行核算。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EBBB">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0E8">
                  <w:pPr>
                    <w:widowControl/>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符合，本项目</w:t>
                  </w:r>
                  <w:r>
                    <w:rPr>
                      <w:rFonts w:hint="default" w:ascii="Times New Roman" w:hAnsi="Times New Roman" w:eastAsia="宋体" w:cs="Times New Roman"/>
                      <w:kern w:val="0"/>
                      <w:sz w:val="21"/>
                      <w:szCs w:val="21"/>
                      <w:lang w:val="en-US" w:eastAsia="zh-CN"/>
                    </w:rPr>
                    <w:t xml:space="preserve">VOCs  </w:t>
                  </w:r>
                  <w:r>
                    <w:rPr>
                      <w:rFonts w:hint="eastAsia" w:ascii="Times New Roman" w:hAnsi="Times New Roman" w:eastAsia="宋体" w:cs="Times New Roman"/>
                      <w:kern w:val="0"/>
                      <w:sz w:val="21"/>
                      <w:szCs w:val="21"/>
                      <w:lang w:val="en-US" w:eastAsia="zh-CN"/>
                    </w:rPr>
                    <w:t>基准排放量计算按照相关规定的要求进行核算</w:t>
                  </w:r>
                </w:p>
              </w:tc>
            </w:tr>
          </w:tbl>
          <w:p w14:paraId="4C40F545">
            <w:pPr>
              <w:adjustRightInd w:val="0"/>
              <w:snapToGrid w:val="0"/>
              <w:spacing w:line="300" w:lineRule="auto"/>
              <w:ind w:left="0" w:leftChars="0" w:firstLine="0" w:firstLineChars="0"/>
              <w:rPr>
                <w:b/>
                <w:bCs/>
              </w:rPr>
            </w:pPr>
          </w:p>
          <w:p w14:paraId="095E9635">
            <w:pPr>
              <w:adjustRightInd w:val="0"/>
              <w:snapToGrid w:val="0"/>
              <w:spacing w:line="240" w:lineRule="auto"/>
              <w:ind w:left="0" w:leftChars="0" w:firstLine="0" w:firstLineChars="0"/>
            </w:pPr>
          </w:p>
        </w:tc>
      </w:tr>
    </w:tbl>
    <w:p w14:paraId="70E1E634">
      <w:pPr>
        <w:ind w:firstLine="480"/>
        <w:rPr>
          <w:rFonts w:eastAsia="黑体"/>
        </w:rPr>
        <w:sectPr>
          <w:footerReference r:id="rId11"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14:paraId="7F216F55">
      <w:pPr>
        <w:pStyle w:val="2"/>
        <w:adjustRightInd w:val="0"/>
        <w:spacing w:line="300" w:lineRule="auto"/>
        <w:ind w:left="0" w:firstLine="0" w:firstLineChars="0"/>
        <w:rPr>
          <w:color w:val="auto"/>
          <w:sz w:val="28"/>
          <w:szCs w:val="28"/>
        </w:rPr>
      </w:pPr>
      <w:bookmarkStart w:id="17" w:name="_Toc1142"/>
      <w:bookmarkStart w:id="18" w:name="_Toc168"/>
      <w:r>
        <w:rPr>
          <w:color w:val="auto"/>
          <w:sz w:val="28"/>
          <w:szCs w:val="28"/>
        </w:rPr>
        <w:t>二、建设项目工程分析</w:t>
      </w:r>
      <w:bookmarkEnd w:id="17"/>
      <w:bookmarkEnd w:id="18"/>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66"/>
      </w:tblGrid>
      <w:tr w14:paraId="675C9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94" w:type="dxa"/>
            <w:vAlign w:val="center"/>
          </w:tcPr>
          <w:p w14:paraId="5A13C69C">
            <w:pPr>
              <w:pStyle w:val="26"/>
              <w:adjustRightInd w:val="0"/>
              <w:snapToGrid w:val="0"/>
              <w:spacing w:before="0" w:beforeAutospacing="0" w:after="0" w:afterAutospacing="0" w:line="240" w:lineRule="auto"/>
              <w:ind w:firstLine="0" w:firstLineChars="0"/>
              <w:jc w:val="center"/>
              <w:rPr>
                <w:rFonts w:ascii="Times New Roman" w:hAnsi="Times New Roman"/>
                <w:sz w:val="28"/>
                <w:szCs w:val="28"/>
              </w:rPr>
            </w:pPr>
            <w:r>
              <w:rPr>
                <w:rFonts w:ascii="Times New Roman" w:hAnsi="Times New Roman"/>
                <w:b/>
                <w:bCs/>
                <w:sz w:val="28"/>
                <w:szCs w:val="28"/>
              </w:rPr>
              <w:t>建设内容</w:t>
            </w:r>
          </w:p>
        </w:tc>
        <w:tc>
          <w:tcPr>
            <w:tcW w:w="8566" w:type="dxa"/>
          </w:tcPr>
          <w:p w14:paraId="73A616E3">
            <w:pPr>
              <w:adjustRightInd w:val="0"/>
              <w:snapToGrid w:val="0"/>
              <w:spacing w:line="300" w:lineRule="auto"/>
              <w:ind w:firstLine="482"/>
              <w:rPr>
                <w:b/>
                <w:bCs/>
                <w:szCs w:val="22"/>
              </w:rPr>
            </w:pPr>
            <w:r>
              <w:rPr>
                <w:b/>
                <w:bCs/>
                <w:szCs w:val="22"/>
              </w:rPr>
              <w:t>1、工程概况</w:t>
            </w:r>
          </w:p>
          <w:p w14:paraId="18006CBE">
            <w:pPr>
              <w:adjustRightInd w:val="0"/>
              <w:snapToGrid w:val="0"/>
              <w:spacing w:line="300" w:lineRule="auto"/>
              <w:ind w:firstLine="480"/>
              <w:rPr>
                <w:szCs w:val="22"/>
              </w:rPr>
            </w:pPr>
            <w:r>
              <w:rPr>
                <w:szCs w:val="22"/>
              </w:rPr>
              <w:t>项目名称：</w:t>
            </w:r>
            <w:r>
              <w:rPr>
                <w:rFonts w:hint="eastAsia"/>
                <w:szCs w:val="22"/>
                <w:lang w:eastAsia="zh-CN"/>
              </w:rPr>
              <w:t>广东高硕新材料科技有限公司建设项目</w:t>
            </w:r>
            <w:r>
              <w:rPr>
                <w:szCs w:val="22"/>
              </w:rPr>
              <w:t>；</w:t>
            </w:r>
          </w:p>
          <w:p w14:paraId="31A35585">
            <w:pPr>
              <w:adjustRightInd w:val="0"/>
              <w:snapToGrid w:val="0"/>
              <w:spacing w:line="300" w:lineRule="auto"/>
              <w:ind w:firstLine="480"/>
              <w:rPr>
                <w:szCs w:val="22"/>
              </w:rPr>
            </w:pPr>
            <w:r>
              <w:rPr>
                <w:szCs w:val="22"/>
              </w:rPr>
              <w:t>建设单位：</w:t>
            </w:r>
            <w:r>
              <w:rPr>
                <w:rFonts w:hint="eastAsia"/>
                <w:szCs w:val="22"/>
                <w:lang w:eastAsia="zh-CN"/>
              </w:rPr>
              <w:t>广东高硕新材料科技有限公司</w:t>
            </w:r>
            <w:r>
              <w:rPr>
                <w:szCs w:val="22"/>
              </w:rPr>
              <w:t>；</w:t>
            </w:r>
          </w:p>
          <w:p w14:paraId="4DD3A894">
            <w:pPr>
              <w:adjustRightInd w:val="0"/>
              <w:snapToGrid w:val="0"/>
              <w:spacing w:line="300" w:lineRule="auto"/>
              <w:ind w:firstLine="480"/>
              <w:rPr>
                <w:szCs w:val="22"/>
              </w:rPr>
            </w:pPr>
            <w:r>
              <w:rPr>
                <w:szCs w:val="22"/>
              </w:rPr>
              <w:t>建设地点：</w:t>
            </w:r>
            <w:r>
              <w:rPr>
                <w:rFonts w:hint="eastAsia"/>
                <w:szCs w:val="22"/>
                <w:lang w:eastAsia="zh-CN"/>
              </w:rPr>
              <w:t>汕头市潮阳区文光街道双望居委白竹洋（汕头市兄弟塑胶实业有限公司内之二）</w:t>
            </w:r>
            <w:r>
              <w:rPr>
                <w:szCs w:val="22"/>
              </w:rPr>
              <w:t>，项目地理位置图见附图</w:t>
            </w:r>
            <w:r>
              <w:rPr>
                <w:rFonts w:hint="eastAsia"/>
                <w:szCs w:val="22"/>
                <w:lang w:val="en-US" w:eastAsia="zh-CN"/>
              </w:rPr>
              <w:t>1</w:t>
            </w:r>
            <w:r>
              <w:rPr>
                <w:szCs w:val="22"/>
              </w:rPr>
              <w:t>，四至范围见附图</w:t>
            </w:r>
            <w:r>
              <w:rPr>
                <w:rFonts w:hint="eastAsia"/>
                <w:szCs w:val="22"/>
                <w:lang w:val="en-US" w:eastAsia="zh-CN"/>
              </w:rPr>
              <w:t>2</w:t>
            </w:r>
            <w:r>
              <w:rPr>
                <w:szCs w:val="22"/>
              </w:rPr>
              <w:t>。</w:t>
            </w:r>
          </w:p>
          <w:p w14:paraId="05574EE3">
            <w:pPr>
              <w:adjustRightInd w:val="0"/>
              <w:snapToGrid w:val="0"/>
              <w:spacing w:line="300" w:lineRule="auto"/>
              <w:ind w:firstLine="480"/>
              <w:rPr>
                <w:szCs w:val="22"/>
              </w:rPr>
            </w:pPr>
            <w:r>
              <w:rPr>
                <w:szCs w:val="22"/>
              </w:rPr>
              <w:t>建设性质：新建；</w:t>
            </w:r>
          </w:p>
          <w:p w14:paraId="1E307FCD">
            <w:pPr>
              <w:adjustRightInd w:val="0"/>
              <w:snapToGrid w:val="0"/>
              <w:spacing w:line="300" w:lineRule="auto"/>
              <w:ind w:left="0" w:leftChars="0" w:firstLine="456" w:firstLineChars="0"/>
              <w:jc w:val="both"/>
              <w:rPr>
                <w:rFonts w:hint="eastAsia" w:ascii="Times New Roman" w:hAnsi="Times New Roman" w:eastAsia="Times New Roman" w:cs="Times New Roman"/>
                <w:b w:val="0"/>
                <w:bCs w:val="0"/>
                <w:spacing w:val="-3"/>
                <w:lang w:val="en-US" w:eastAsia="zh-CN"/>
              </w:rPr>
            </w:pPr>
            <w:r>
              <w:rPr>
                <w:szCs w:val="22"/>
              </w:rPr>
              <w:t>建设内容：本项目租用一</w:t>
            </w:r>
            <w:r>
              <w:rPr>
                <w:rFonts w:hint="eastAsia" w:ascii="Times New Roman" w:hAnsi="Times New Roman" w:eastAsia="Times New Roman" w:cs="Times New Roman"/>
                <w:b w:val="0"/>
                <w:bCs w:val="0"/>
                <w:spacing w:val="-3"/>
                <w:lang w:val="en-US" w:eastAsia="zh-CN"/>
              </w:rPr>
              <w:t>栋1层的砼钢结构结构厂房建设1条纺织助剂生产线，建成后年产纺织油剂</w:t>
            </w:r>
            <w:r>
              <w:rPr>
                <w:rFonts w:hint="eastAsia" w:eastAsia="Times New Roman" w:cs="Times New Roman"/>
                <w:b w:val="0"/>
                <w:bCs w:val="0"/>
                <w:spacing w:val="-3"/>
                <w:lang w:val="en-US" w:eastAsia="zh-CN"/>
              </w:rPr>
              <w:t>4500</w:t>
            </w:r>
            <w:r>
              <w:rPr>
                <w:rFonts w:hint="eastAsia" w:ascii="Times New Roman" w:hAnsi="Times New Roman" w:eastAsia="Times New Roman" w:cs="Times New Roman"/>
                <w:b w:val="0"/>
                <w:bCs w:val="0"/>
                <w:spacing w:val="-3"/>
                <w:lang w:val="en-US" w:eastAsia="zh-CN"/>
              </w:rPr>
              <w:t>t/a 、除油剂</w:t>
            </w:r>
            <w:r>
              <w:rPr>
                <w:rFonts w:hint="eastAsia" w:eastAsia="Times New Roman" w:cs="Times New Roman"/>
                <w:b w:val="0"/>
                <w:bCs w:val="0"/>
                <w:spacing w:val="-3"/>
                <w:lang w:val="en-US" w:eastAsia="zh-CN"/>
              </w:rPr>
              <w:t>400</w:t>
            </w:r>
            <w:r>
              <w:rPr>
                <w:rFonts w:hint="eastAsia" w:ascii="Times New Roman" w:hAnsi="Times New Roman" w:eastAsia="Times New Roman" w:cs="Times New Roman"/>
                <w:b w:val="0"/>
                <w:bCs w:val="0"/>
                <w:spacing w:val="-3"/>
                <w:lang w:val="en-US" w:eastAsia="zh-CN"/>
              </w:rPr>
              <w:t>t/a，柔软剂</w:t>
            </w:r>
            <w:r>
              <w:rPr>
                <w:rFonts w:hint="eastAsia" w:eastAsia="Times New Roman" w:cs="Times New Roman"/>
                <w:b w:val="0"/>
                <w:bCs w:val="0"/>
                <w:spacing w:val="-3"/>
                <w:lang w:val="en-US" w:eastAsia="zh-CN"/>
              </w:rPr>
              <w:t>150</w:t>
            </w:r>
            <w:r>
              <w:rPr>
                <w:rFonts w:hint="eastAsia" w:ascii="Times New Roman" w:hAnsi="Times New Roman" w:eastAsia="Times New Roman" w:cs="Times New Roman"/>
                <w:b w:val="0"/>
                <w:bCs w:val="0"/>
                <w:spacing w:val="-3"/>
                <w:lang w:val="en-US" w:eastAsia="zh-CN"/>
              </w:rPr>
              <w:t>0t/a，精炼酶2</w:t>
            </w:r>
            <w:r>
              <w:rPr>
                <w:rFonts w:hint="eastAsia" w:eastAsia="Times New Roman" w:cs="Times New Roman"/>
                <w:b w:val="0"/>
                <w:bCs w:val="0"/>
                <w:spacing w:val="-3"/>
                <w:lang w:val="en-US" w:eastAsia="zh-CN"/>
              </w:rPr>
              <w:t>5</w:t>
            </w:r>
            <w:r>
              <w:rPr>
                <w:rFonts w:hint="eastAsia" w:ascii="Times New Roman" w:hAnsi="Times New Roman" w:eastAsia="Times New Roman" w:cs="Times New Roman"/>
                <w:b w:val="0"/>
                <w:bCs w:val="0"/>
                <w:spacing w:val="-3"/>
                <w:lang w:val="en-US" w:eastAsia="zh-CN"/>
              </w:rPr>
              <w:t>0t/a。占地面积约 2590.59平方米，建筑面积 2590.59平方米。</w:t>
            </w:r>
          </w:p>
          <w:p w14:paraId="64FA1723">
            <w:pPr>
              <w:adjustRightInd w:val="0"/>
              <w:snapToGrid w:val="0"/>
              <w:spacing w:line="300" w:lineRule="auto"/>
              <w:ind w:left="0" w:leftChars="0" w:firstLine="456" w:firstLineChars="0"/>
              <w:jc w:val="both"/>
              <w:rPr>
                <w:rFonts w:hint="eastAsia" w:ascii="Times New Roman" w:hAnsi="Times New Roman" w:eastAsia="Times New Roman" w:cs="Times New Roman"/>
                <w:b w:val="0"/>
                <w:bCs w:val="0"/>
                <w:spacing w:val="-3"/>
                <w:lang w:val="en-US" w:eastAsia="zh-CN"/>
              </w:rPr>
            </w:pPr>
            <w:r>
              <w:rPr>
                <w:rFonts w:hint="eastAsia" w:ascii="Times New Roman" w:hAnsi="Times New Roman" w:eastAsia="Times New Roman" w:cs="Times New Roman"/>
                <w:b w:val="0"/>
                <w:bCs w:val="0"/>
                <w:spacing w:val="-3"/>
                <w:lang w:val="en-US" w:eastAsia="zh-CN"/>
              </w:rPr>
              <w:t>总投资：项目总投资200万元，其中环保投资15万元，占总投资7.5%。</w:t>
            </w:r>
          </w:p>
          <w:p w14:paraId="3BA1B011">
            <w:pPr>
              <w:adjustRightInd w:val="0"/>
              <w:snapToGrid w:val="0"/>
              <w:spacing w:line="300" w:lineRule="auto"/>
              <w:ind w:left="0" w:leftChars="0" w:firstLine="456" w:firstLineChars="0"/>
              <w:jc w:val="both"/>
            </w:pPr>
            <w:r>
              <w:rPr>
                <w:rFonts w:hint="eastAsia" w:ascii="Times New Roman" w:hAnsi="Times New Roman" w:eastAsia="Times New Roman" w:cs="Times New Roman"/>
                <w:b w:val="0"/>
                <w:bCs w:val="0"/>
                <w:spacing w:val="-3"/>
                <w:lang w:val="en-US" w:eastAsia="zh-CN"/>
              </w:rPr>
              <w:t>根据《建设项目环境影响评价分类管理名录(2021年版)》(生态环境部令第16 号)，本项目属于“二十三、化学原料和化学制品制造业26-专用化学产品制造 ”类别中“266-单纯物理分离、物理提纯。混合、分装的”需编</w:t>
            </w:r>
            <w:r>
              <w:t>制环境影响报告表。</w:t>
            </w:r>
          </w:p>
          <w:p w14:paraId="5DD31702">
            <w:pPr>
              <w:adjustRightInd w:val="0"/>
              <w:snapToGrid w:val="0"/>
              <w:spacing w:line="300" w:lineRule="auto"/>
              <w:ind w:firstLine="482"/>
              <w:rPr>
                <w:b/>
                <w:bCs/>
                <w:szCs w:val="22"/>
              </w:rPr>
            </w:pPr>
            <w:r>
              <w:rPr>
                <w:b/>
                <w:bCs/>
                <w:szCs w:val="22"/>
              </w:rPr>
              <w:t>2、工程组成</w:t>
            </w:r>
          </w:p>
          <w:p w14:paraId="65C6E44F">
            <w:pPr>
              <w:adjustRightInd w:val="0"/>
              <w:snapToGrid w:val="0"/>
              <w:spacing w:line="300" w:lineRule="auto"/>
              <w:ind w:firstLine="480"/>
              <w:rPr>
                <w:szCs w:val="22"/>
              </w:rPr>
            </w:pPr>
            <w:r>
              <w:rPr>
                <w:szCs w:val="22"/>
              </w:rPr>
              <w:t>本项目组成内容情况见表2-1。</w:t>
            </w:r>
          </w:p>
          <w:p w14:paraId="79E926B0">
            <w:pPr>
              <w:spacing w:line="240" w:lineRule="auto"/>
              <w:ind w:firstLine="0" w:firstLineChars="0"/>
              <w:jc w:val="center"/>
              <w:rPr>
                <w:b/>
                <w:bCs/>
                <w:szCs w:val="21"/>
              </w:rPr>
            </w:pPr>
            <w:r>
              <w:rPr>
                <w:b/>
                <w:bCs/>
                <w:szCs w:val="21"/>
              </w:rPr>
              <w:t>表2-1 本项目工程内容组成表</w:t>
            </w:r>
          </w:p>
          <w:tbl>
            <w:tblPr>
              <w:tblStyle w:val="31"/>
              <w:tblW w:w="51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
              <w:gridCol w:w="1297"/>
              <w:gridCol w:w="6"/>
              <w:gridCol w:w="975"/>
              <w:gridCol w:w="5347"/>
              <w:gridCol w:w="245"/>
            </w:tblGrid>
            <w:tr w14:paraId="0FAB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pct"/>
                <w:trHeight w:val="23" w:hRule="atLeast"/>
                <w:tblHeader/>
              </w:trPr>
              <w:tc>
                <w:tcPr>
                  <w:tcW w:w="408" w:type="pct"/>
                  <w:vAlign w:val="center"/>
                </w:tcPr>
                <w:p w14:paraId="5B5AAEF3">
                  <w:pPr>
                    <w:widowControl/>
                    <w:snapToGrid w:val="0"/>
                    <w:spacing w:line="240" w:lineRule="auto"/>
                    <w:ind w:firstLine="0" w:firstLineChars="0"/>
                    <w:jc w:val="center"/>
                    <w:rPr>
                      <w:kern w:val="0"/>
                      <w:sz w:val="21"/>
                      <w:szCs w:val="21"/>
                    </w:rPr>
                  </w:pPr>
                  <w:r>
                    <w:rPr>
                      <w:kern w:val="0"/>
                      <w:sz w:val="21"/>
                      <w:szCs w:val="21"/>
                    </w:rPr>
                    <w:t>工程类别</w:t>
                  </w:r>
                </w:p>
              </w:tc>
              <w:tc>
                <w:tcPr>
                  <w:tcW w:w="758" w:type="pct"/>
                  <w:gridSpan w:val="2"/>
                  <w:vAlign w:val="center"/>
                </w:tcPr>
                <w:p w14:paraId="5B7A1558">
                  <w:pPr>
                    <w:widowControl/>
                    <w:snapToGrid w:val="0"/>
                    <w:spacing w:line="240" w:lineRule="auto"/>
                    <w:ind w:firstLine="0" w:firstLineChars="0"/>
                    <w:jc w:val="center"/>
                    <w:rPr>
                      <w:kern w:val="0"/>
                      <w:sz w:val="21"/>
                      <w:szCs w:val="21"/>
                    </w:rPr>
                  </w:pPr>
                  <w:r>
                    <w:rPr>
                      <w:kern w:val="0"/>
                      <w:sz w:val="21"/>
                      <w:szCs w:val="21"/>
                    </w:rPr>
                    <w:t>名称</w:t>
                  </w:r>
                </w:p>
              </w:tc>
              <w:tc>
                <w:tcPr>
                  <w:tcW w:w="3690" w:type="pct"/>
                  <w:gridSpan w:val="3"/>
                  <w:vAlign w:val="center"/>
                </w:tcPr>
                <w:p w14:paraId="0BCE588C">
                  <w:pPr>
                    <w:widowControl/>
                    <w:snapToGrid w:val="0"/>
                    <w:spacing w:line="240" w:lineRule="auto"/>
                    <w:ind w:firstLine="0" w:firstLineChars="0"/>
                    <w:jc w:val="center"/>
                    <w:rPr>
                      <w:kern w:val="0"/>
                      <w:sz w:val="21"/>
                      <w:szCs w:val="21"/>
                    </w:rPr>
                  </w:pPr>
                  <w:r>
                    <w:rPr>
                      <w:kern w:val="0"/>
                      <w:sz w:val="21"/>
                      <w:szCs w:val="21"/>
                    </w:rPr>
                    <w:t>项目组成及规模</w:t>
                  </w:r>
                </w:p>
              </w:tc>
            </w:tr>
            <w:tr w14:paraId="6222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pct"/>
                <w:trHeight w:val="627" w:hRule="atLeast"/>
                <w:tblHeader/>
              </w:trPr>
              <w:tc>
                <w:tcPr>
                  <w:tcW w:w="408" w:type="pct"/>
                  <w:vAlign w:val="center"/>
                </w:tcPr>
                <w:p w14:paraId="5CBC57ED">
                  <w:pPr>
                    <w:snapToGrid w:val="0"/>
                    <w:spacing w:line="240" w:lineRule="auto"/>
                    <w:ind w:firstLine="0" w:firstLineChars="0"/>
                    <w:jc w:val="center"/>
                    <w:rPr>
                      <w:kern w:val="0"/>
                      <w:sz w:val="21"/>
                      <w:szCs w:val="21"/>
                    </w:rPr>
                  </w:pPr>
                  <w:r>
                    <w:rPr>
                      <w:kern w:val="0"/>
                      <w:sz w:val="21"/>
                      <w:szCs w:val="21"/>
                    </w:rPr>
                    <w:t>主体工程</w:t>
                  </w:r>
                </w:p>
              </w:tc>
              <w:tc>
                <w:tcPr>
                  <w:tcW w:w="758" w:type="pct"/>
                  <w:gridSpan w:val="2"/>
                  <w:vAlign w:val="center"/>
                </w:tcPr>
                <w:p w14:paraId="6BD8DE83">
                  <w:pPr>
                    <w:widowControl/>
                    <w:snapToGrid w:val="0"/>
                    <w:spacing w:line="240" w:lineRule="auto"/>
                    <w:ind w:firstLine="0" w:firstLineChars="0"/>
                    <w:jc w:val="center"/>
                    <w:rPr>
                      <w:rFonts w:hint="default" w:eastAsia="宋体"/>
                      <w:kern w:val="0"/>
                      <w:sz w:val="21"/>
                      <w:szCs w:val="21"/>
                      <w:lang w:val="en-US" w:eastAsia="zh-CN"/>
                    </w:rPr>
                  </w:pPr>
                  <w:r>
                    <w:rPr>
                      <w:rFonts w:hint="eastAsia"/>
                      <w:kern w:val="0"/>
                      <w:sz w:val="21"/>
                      <w:szCs w:val="21"/>
                      <w:lang w:val="en-US" w:eastAsia="zh-CN"/>
                    </w:rPr>
                    <w:t>生产车间</w:t>
                  </w:r>
                </w:p>
              </w:tc>
              <w:tc>
                <w:tcPr>
                  <w:tcW w:w="3690" w:type="pct"/>
                  <w:gridSpan w:val="3"/>
                  <w:vAlign w:val="center"/>
                </w:tcPr>
                <w:p w14:paraId="6E9C1EBB">
                  <w:pPr>
                    <w:widowControl/>
                    <w:snapToGrid w:val="0"/>
                    <w:spacing w:line="240" w:lineRule="auto"/>
                    <w:ind w:firstLine="0" w:firstLineChars="0"/>
                    <w:rPr>
                      <w:rFonts w:hint="default" w:eastAsia="宋体"/>
                      <w:kern w:val="0"/>
                      <w:sz w:val="21"/>
                      <w:szCs w:val="21"/>
                      <w:lang w:val="en-US" w:eastAsia="zh-CN"/>
                    </w:rPr>
                  </w:pPr>
                  <w:r>
                    <w:rPr>
                      <w:rFonts w:ascii="Times New Roman" w:hAnsi="Times New Roman" w:eastAsia="Times New Roman" w:cs="Times New Roman"/>
                      <w:spacing w:val="-2"/>
                      <w:sz w:val="21"/>
                      <w:szCs w:val="21"/>
                    </w:rPr>
                    <w:t>1F</w:t>
                  </w:r>
                  <w:r>
                    <w:rPr>
                      <w:spacing w:val="-2"/>
                      <w:sz w:val="21"/>
                      <w:szCs w:val="21"/>
                    </w:rPr>
                    <w:t>，钢结构厂房，占地面</w:t>
                  </w:r>
                  <w:r>
                    <w:rPr>
                      <w:kern w:val="0"/>
                      <w:sz w:val="21"/>
                      <w:szCs w:val="21"/>
                    </w:rPr>
                    <w:t>积2590.59</w:t>
                  </w:r>
                  <w:r>
                    <w:rPr>
                      <w:rFonts w:ascii="Times New Roman" w:hAnsi="Times New Roman" w:eastAsia="Times New Roman" w:cs="Times New Roman"/>
                      <w:spacing w:val="-2"/>
                      <w:sz w:val="21"/>
                      <w:szCs w:val="21"/>
                    </w:rPr>
                    <w:t>m</w:t>
                  </w:r>
                  <w:r>
                    <w:rPr>
                      <w:rFonts w:ascii="Times New Roman" w:hAnsi="Times New Roman" w:eastAsia="Times New Roman" w:cs="Times New Roman"/>
                      <w:spacing w:val="-2"/>
                      <w:sz w:val="21"/>
                      <w:szCs w:val="21"/>
                      <w:vertAlign w:val="superscript"/>
                    </w:rPr>
                    <w:t>2</w:t>
                  </w:r>
                  <w:r>
                    <w:rPr>
                      <w:spacing w:val="-2"/>
                      <w:sz w:val="21"/>
                      <w:szCs w:val="21"/>
                    </w:rPr>
                    <w:t>，建筑</w:t>
                  </w:r>
                  <w:r>
                    <w:rPr>
                      <w:spacing w:val="-3"/>
                      <w:sz w:val="21"/>
                      <w:szCs w:val="21"/>
                    </w:rPr>
                    <w:t>面</w:t>
                  </w:r>
                  <w:r>
                    <w:rPr>
                      <w:kern w:val="0"/>
                      <w:sz w:val="21"/>
                      <w:szCs w:val="21"/>
                    </w:rPr>
                    <w:t>积2590.59</w:t>
                  </w:r>
                  <w:r>
                    <w:rPr>
                      <w:rFonts w:ascii="Times New Roman" w:hAnsi="Times New Roman" w:eastAsia="Times New Roman" w:cs="Times New Roman"/>
                      <w:spacing w:val="-3"/>
                      <w:sz w:val="21"/>
                      <w:szCs w:val="21"/>
                    </w:rPr>
                    <w:t>m</w:t>
                  </w:r>
                  <w:r>
                    <w:rPr>
                      <w:rFonts w:ascii="Times New Roman" w:hAnsi="Times New Roman" w:eastAsia="Times New Roman" w:cs="Times New Roman"/>
                      <w:spacing w:val="-3"/>
                      <w:sz w:val="21"/>
                      <w:szCs w:val="21"/>
                      <w:vertAlign w:val="superscript"/>
                    </w:rPr>
                    <w:t>2</w:t>
                  </w:r>
                  <w:r>
                    <w:rPr>
                      <w:spacing w:val="-2"/>
                      <w:sz w:val="21"/>
                      <w:szCs w:val="21"/>
                    </w:rPr>
                    <w:t>，</w:t>
                  </w:r>
                  <w:r>
                    <w:rPr>
                      <w:rFonts w:hint="eastAsia"/>
                      <w:spacing w:val="-2"/>
                      <w:sz w:val="21"/>
                      <w:szCs w:val="21"/>
                      <w:lang w:val="en-US" w:eastAsia="zh-CN"/>
                    </w:rPr>
                    <w:t>设置有罐区、原料区、成品区、搅拌区、分装区等</w:t>
                  </w:r>
                </w:p>
              </w:tc>
            </w:tr>
            <w:tr w14:paraId="2F62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pct"/>
                <w:trHeight w:val="23" w:hRule="atLeast"/>
                <w:tblHeader/>
              </w:trPr>
              <w:tc>
                <w:tcPr>
                  <w:tcW w:w="408" w:type="pct"/>
                  <w:vMerge w:val="restart"/>
                  <w:vAlign w:val="center"/>
                </w:tcPr>
                <w:p w14:paraId="718011C3">
                  <w:pPr>
                    <w:widowControl/>
                    <w:snapToGrid w:val="0"/>
                    <w:spacing w:line="240" w:lineRule="auto"/>
                    <w:ind w:firstLine="0" w:firstLineChars="0"/>
                    <w:jc w:val="center"/>
                    <w:rPr>
                      <w:kern w:val="0"/>
                      <w:sz w:val="21"/>
                      <w:szCs w:val="21"/>
                    </w:rPr>
                  </w:pPr>
                  <w:r>
                    <w:rPr>
                      <w:kern w:val="0"/>
                      <w:sz w:val="21"/>
                      <w:szCs w:val="21"/>
                    </w:rPr>
                    <w:t>公用工程</w:t>
                  </w:r>
                </w:p>
              </w:tc>
              <w:tc>
                <w:tcPr>
                  <w:tcW w:w="758" w:type="pct"/>
                  <w:gridSpan w:val="2"/>
                  <w:vAlign w:val="center"/>
                </w:tcPr>
                <w:p w14:paraId="4F291BE7">
                  <w:pPr>
                    <w:snapToGrid w:val="0"/>
                    <w:spacing w:line="240" w:lineRule="auto"/>
                    <w:ind w:firstLine="0" w:firstLineChars="0"/>
                    <w:jc w:val="center"/>
                    <w:rPr>
                      <w:kern w:val="0"/>
                      <w:sz w:val="21"/>
                      <w:szCs w:val="21"/>
                    </w:rPr>
                  </w:pPr>
                  <w:r>
                    <w:rPr>
                      <w:kern w:val="0"/>
                      <w:sz w:val="21"/>
                      <w:szCs w:val="21"/>
                    </w:rPr>
                    <w:t>供水工程</w:t>
                  </w:r>
                </w:p>
              </w:tc>
              <w:tc>
                <w:tcPr>
                  <w:tcW w:w="3690" w:type="pct"/>
                  <w:gridSpan w:val="3"/>
                  <w:vAlign w:val="center"/>
                </w:tcPr>
                <w:p w14:paraId="18519D29">
                  <w:pPr>
                    <w:widowControl/>
                    <w:snapToGrid w:val="0"/>
                    <w:spacing w:line="240" w:lineRule="auto"/>
                    <w:ind w:firstLine="0" w:firstLineChars="0"/>
                    <w:jc w:val="both"/>
                    <w:rPr>
                      <w:kern w:val="0"/>
                      <w:sz w:val="21"/>
                      <w:szCs w:val="21"/>
                    </w:rPr>
                  </w:pPr>
                  <w:r>
                    <w:rPr>
                      <w:kern w:val="0"/>
                      <w:sz w:val="21"/>
                      <w:szCs w:val="21"/>
                    </w:rPr>
                    <w:t>项目的用水全部由市政自来水公司供给，主要为生活用水</w:t>
                  </w:r>
                </w:p>
              </w:tc>
            </w:tr>
            <w:tr w14:paraId="527A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pct"/>
                <w:trHeight w:val="23" w:hRule="atLeast"/>
                <w:tblHeader/>
              </w:trPr>
              <w:tc>
                <w:tcPr>
                  <w:tcW w:w="408" w:type="pct"/>
                  <w:vMerge w:val="continue"/>
                  <w:vAlign w:val="center"/>
                </w:tcPr>
                <w:p w14:paraId="55814F01">
                  <w:pPr>
                    <w:widowControl/>
                    <w:snapToGrid w:val="0"/>
                    <w:spacing w:line="240" w:lineRule="auto"/>
                    <w:ind w:firstLine="0" w:firstLineChars="0"/>
                    <w:jc w:val="center"/>
                    <w:rPr>
                      <w:kern w:val="0"/>
                      <w:sz w:val="21"/>
                      <w:szCs w:val="21"/>
                    </w:rPr>
                  </w:pPr>
                </w:p>
              </w:tc>
              <w:tc>
                <w:tcPr>
                  <w:tcW w:w="758" w:type="pct"/>
                  <w:gridSpan w:val="2"/>
                  <w:vAlign w:val="center"/>
                </w:tcPr>
                <w:p w14:paraId="6B6E3B06">
                  <w:pPr>
                    <w:widowControl/>
                    <w:snapToGrid w:val="0"/>
                    <w:spacing w:line="240" w:lineRule="auto"/>
                    <w:ind w:firstLine="0" w:firstLineChars="0"/>
                    <w:jc w:val="center"/>
                    <w:rPr>
                      <w:kern w:val="0"/>
                      <w:sz w:val="21"/>
                      <w:szCs w:val="21"/>
                    </w:rPr>
                  </w:pPr>
                  <w:r>
                    <w:rPr>
                      <w:kern w:val="0"/>
                      <w:sz w:val="21"/>
                      <w:szCs w:val="21"/>
                    </w:rPr>
                    <w:t>排水工程</w:t>
                  </w:r>
                </w:p>
              </w:tc>
              <w:tc>
                <w:tcPr>
                  <w:tcW w:w="3690" w:type="pct"/>
                  <w:gridSpan w:val="3"/>
                  <w:vAlign w:val="center"/>
                </w:tcPr>
                <w:p w14:paraId="4545AA8A">
                  <w:pPr>
                    <w:widowControl/>
                    <w:snapToGrid w:val="0"/>
                    <w:spacing w:line="240" w:lineRule="auto"/>
                    <w:ind w:firstLine="0" w:firstLineChars="0"/>
                    <w:jc w:val="both"/>
                    <w:rPr>
                      <w:kern w:val="0"/>
                      <w:sz w:val="21"/>
                      <w:szCs w:val="21"/>
                    </w:rPr>
                  </w:pPr>
                  <w:r>
                    <w:rPr>
                      <w:kern w:val="0"/>
                      <w:sz w:val="21"/>
                      <w:szCs w:val="21"/>
                    </w:rPr>
                    <w:t>项目排水采用雨污分流制：雨水经雨水管道收集排入市政雨水管网；生活污水经三级化粪池预处理后，由市政污水管网引至潮阳区污水处理厂进行后续处理</w:t>
                  </w:r>
                </w:p>
              </w:tc>
            </w:tr>
            <w:tr w14:paraId="16F1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pct"/>
                <w:trHeight w:val="23" w:hRule="atLeast"/>
                <w:tblHeader/>
              </w:trPr>
              <w:tc>
                <w:tcPr>
                  <w:tcW w:w="408" w:type="pct"/>
                  <w:vMerge w:val="continue"/>
                  <w:vAlign w:val="center"/>
                </w:tcPr>
                <w:p w14:paraId="5F13F4A5">
                  <w:pPr>
                    <w:widowControl/>
                    <w:snapToGrid w:val="0"/>
                    <w:spacing w:line="240" w:lineRule="auto"/>
                    <w:ind w:firstLine="0" w:firstLineChars="0"/>
                    <w:jc w:val="center"/>
                    <w:rPr>
                      <w:kern w:val="0"/>
                      <w:sz w:val="21"/>
                      <w:szCs w:val="21"/>
                    </w:rPr>
                  </w:pPr>
                </w:p>
              </w:tc>
              <w:tc>
                <w:tcPr>
                  <w:tcW w:w="758" w:type="pct"/>
                  <w:gridSpan w:val="2"/>
                  <w:vAlign w:val="center"/>
                </w:tcPr>
                <w:p w14:paraId="62D30164">
                  <w:pPr>
                    <w:widowControl/>
                    <w:snapToGrid w:val="0"/>
                    <w:spacing w:line="240" w:lineRule="auto"/>
                    <w:ind w:firstLine="0" w:firstLineChars="0"/>
                    <w:jc w:val="center"/>
                    <w:rPr>
                      <w:kern w:val="0"/>
                      <w:sz w:val="21"/>
                      <w:szCs w:val="21"/>
                    </w:rPr>
                  </w:pPr>
                  <w:r>
                    <w:rPr>
                      <w:kern w:val="0"/>
                      <w:sz w:val="21"/>
                      <w:szCs w:val="21"/>
                    </w:rPr>
                    <w:t>供电工程</w:t>
                  </w:r>
                </w:p>
              </w:tc>
              <w:tc>
                <w:tcPr>
                  <w:tcW w:w="3690" w:type="pct"/>
                  <w:gridSpan w:val="3"/>
                  <w:vAlign w:val="center"/>
                </w:tcPr>
                <w:p w14:paraId="1E2683B5">
                  <w:pPr>
                    <w:widowControl/>
                    <w:snapToGrid w:val="0"/>
                    <w:spacing w:line="240" w:lineRule="auto"/>
                    <w:ind w:firstLine="0" w:firstLineChars="0"/>
                    <w:rPr>
                      <w:kern w:val="0"/>
                      <w:sz w:val="21"/>
                      <w:szCs w:val="21"/>
                    </w:rPr>
                  </w:pPr>
                  <w:r>
                    <w:rPr>
                      <w:kern w:val="0"/>
                      <w:sz w:val="21"/>
                      <w:szCs w:val="21"/>
                    </w:rPr>
                    <w:t>由市政电网供给，不设备用发电机。</w:t>
                  </w:r>
                </w:p>
              </w:tc>
            </w:tr>
            <w:tr w14:paraId="4E2B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pct"/>
                <w:trHeight w:val="23" w:hRule="atLeast"/>
                <w:tblHeader/>
              </w:trPr>
              <w:tc>
                <w:tcPr>
                  <w:tcW w:w="408" w:type="pct"/>
                  <w:vMerge w:val="restart"/>
                  <w:vAlign w:val="center"/>
                </w:tcPr>
                <w:p w14:paraId="39E06CAC">
                  <w:pPr>
                    <w:widowControl/>
                    <w:snapToGrid w:val="0"/>
                    <w:spacing w:line="240" w:lineRule="auto"/>
                    <w:ind w:firstLine="0" w:firstLineChars="0"/>
                    <w:jc w:val="center"/>
                    <w:rPr>
                      <w:kern w:val="0"/>
                      <w:sz w:val="21"/>
                      <w:szCs w:val="21"/>
                    </w:rPr>
                  </w:pPr>
                  <w:r>
                    <w:rPr>
                      <w:kern w:val="0"/>
                      <w:sz w:val="21"/>
                      <w:szCs w:val="21"/>
                    </w:rPr>
                    <w:t>环保工程</w:t>
                  </w:r>
                </w:p>
              </w:tc>
              <w:tc>
                <w:tcPr>
                  <w:tcW w:w="758" w:type="pct"/>
                  <w:gridSpan w:val="2"/>
                  <w:vMerge w:val="restart"/>
                  <w:vAlign w:val="center"/>
                </w:tcPr>
                <w:p w14:paraId="01DC1779">
                  <w:pPr>
                    <w:widowControl/>
                    <w:snapToGrid w:val="0"/>
                    <w:spacing w:line="240" w:lineRule="auto"/>
                    <w:ind w:firstLine="0" w:firstLineChars="0"/>
                    <w:jc w:val="center"/>
                    <w:rPr>
                      <w:kern w:val="0"/>
                      <w:sz w:val="21"/>
                      <w:szCs w:val="21"/>
                    </w:rPr>
                  </w:pPr>
                  <w:r>
                    <w:rPr>
                      <w:kern w:val="0"/>
                      <w:sz w:val="21"/>
                      <w:szCs w:val="21"/>
                    </w:rPr>
                    <w:t>废气</w:t>
                  </w:r>
                </w:p>
              </w:tc>
              <w:tc>
                <w:tcPr>
                  <w:tcW w:w="3690" w:type="pct"/>
                  <w:gridSpan w:val="3"/>
                  <w:vAlign w:val="center"/>
                </w:tcPr>
                <w:p w14:paraId="2E408444">
                  <w:pPr>
                    <w:widowControl/>
                    <w:snapToGrid w:val="0"/>
                    <w:spacing w:line="240" w:lineRule="auto"/>
                    <w:ind w:firstLine="0" w:firstLineChars="0"/>
                    <w:rPr>
                      <w:rFonts w:hint="default"/>
                      <w:kern w:val="0"/>
                      <w:sz w:val="21"/>
                      <w:szCs w:val="21"/>
                      <w:lang w:val="en-US"/>
                    </w:rPr>
                  </w:pPr>
                  <w:r>
                    <w:rPr>
                      <w:rFonts w:hint="eastAsia"/>
                      <w:kern w:val="0"/>
                      <w:sz w:val="21"/>
                      <w:szCs w:val="21"/>
                      <w:lang w:val="en-US" w:eastAsia="zh-CN"/>
                    </w:rPr>
                    <w:t>精炼酶生产过程投料、混合、分装粉尘</w:t>
                  </w:r>
                  <w:r>
                    <w:rPr>
                      <w:kern w:val="0"/>
                      <w:sz w:val="21"/>
                      <w:szCs w:val="21"/>
                    </w:rPr>
                    <w:t>：</w:t>
                  </w:r>
                  <w:r>
                    <w:rPr>
                      <w:rFonts w:hint="eastAsia"/>
                      <w:kern w:val="0"/>
                      <w:sz w:val="21"/>
                      <w:szCs w:val="21"/>
                      <w:lang w:val="en-US" w:bidi="zh-CN"/>
                    </w:rPr>
                    <w:t>半密闭集气罩进行收集，后经布袋除尘器处理，尾气引至1根15m高排气筒DA001排放</w:t>
                  </w:r>
                </w:p>
              </w:tc>
            </w:tr>
            <w:tr w14:paraId="5A8C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pct"/>
                <w:trHeight w:val="90" w:hRule="atLeast"/>
                <w:tblHeader/>
              </w:trPr>
              <w:tc>
                <w:tcPr>
                  <w:tcW w:w="408" w:type="pct"/>
                  <w:vMerge w:val="continue"/>
                  <w:vAlign w:val="center"/>
                </w:tcPr>
                <w:p w14:paraId="53E631A5">
                  <w:pPr>
                    <w:widowControl/>
                    <w:snapToGrid w:val="0"/>
                    <w:spacing w:line="240" w:lineRule="auto"/>
                    <w:ind w:firstLine="0" w:firstLineChars="0"/>
                    <w:jc w:val="center"/>
                    <w:rPr>
                      <w:kern w:val="0"/>
                      <w:sz w:val="21"/>
                      <w:szCs w:val="21"/>
                    </w:rPr>
                  </w:pPr>
                </w:p>
              </w:tc>
              <w:tc>
                <w:tcPr>
                  <w:tcW w:w="758" w:type="pct"/>
                  <w:gridSpan w:val="2"/>
                  <w:vMerge w:val="continue"/>
                  <w:vAlign w:val="center"/>
                </w:tcPr>
                <w:p w14:paraId="046F7F94">
                  <w:pPr>
                    <w:widowControl/>
                    <w:snapToGrid w:val="0"/>
                    <w:spacing w:line="240" w:lineRule="auto"/>
                    <w:ind w:firstLine="0" w:firstLineChars="0"/>
                    <w:jc w:val="center"/>
                    <w:rPr>
                      <w:kern w:val="0"/>
                      <w:sz w:val="21"/>
                      <w:szCs w:val="21"/>
                    </w:rPr>
                  </w:pPr>
                </w:p>
              </w:tc>
              <w:tc>
                <w:tcPr>
                  <w:tcW w:w="3690" w:type="pct"/>
                  <w:gridSpan w:val="3"/>
                  <w:vAlign w:val="center"/>
                </w:tcPr>
                <w:p w14:paraId="7BAED54B">
                  <w:pPr>
                    <w:widowControl/>
                    <w:snapToGrid w:val="0"/>
                    <w:spacing w:line="240" w:lineRule="auto"/>
                    <w:ind w:firstLine="0" w:firstLineChars="0"/>
                    <w:rPr>
                      <w:kern w:val="0"/>
                      <w:sz w:val="21"/>
                      <w:szCs w:val="21"/>
                    </w:rPr>
                  </w:pPr>
                  <w:r>
                    <w:rPr>
                      <w:rFonts w:hint="eastAsia"/>
                      <w:kern w:val="0"/>
                      <w:sz w:val="21"/>
                      <w:szCs w:val="21"/>
                      <w:lang w:val="en-US" w:eastAsia="zh-CN"/>
                    </w:rPr>
                    <w:t>有机助剂生产过程搅拌、分装有机废气</w:t>
                  </w:r>
                  <w:r>
                    <w:rPr>
                      <w:kern w:val="0"/>
                      <w:sz w:val="21"/>
                      <w:szCs w:val="21"/>
                    </w:rPr>
                    <w:t>：</w:t>
                  </w:r>
                  <w:r>
                    <w:rPr>
                      <w:rFonts w:hint="eastAsia"/>
                      <w:kern w:val="0"/>
                      <w:sz w:val="21"/>
                      <w:szCs w:val="21"/>
                      <w:lang w:val="en-US" w:eastAsia="zh-CN"/>
                    </w:rPr>
                    <w:t>搅拌罐出气口直连，</w:t>
                  </w:r>
                  <w:r>
                    <w:rPr>
                      <w:rFonts w:hint="eastAsia"/>
                      <w:kern w:val="0"/>
                      <w:sz w:val="21"/>
                      <w:szCs w:val="21"/>
                      <w:lang w:val="en-US" w:bidi="zh-CN"/>
                    </w:rPr>
                    <w:t>集气罩对分装工位进一步收集，经“二级活性炭吸附装置”处理后，尾气引至1根15m高排气筒排放</w:t>
                  </w:r>
                </w:p>
              </w:tc>
            </w:tr>
            <w:tr w14:paraId="021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pct"/>
                <w:trHeight w:val="23" w:hRule="atLeast"/>
                <w:tblHeader/>
              </w:trPr>
              <w:tc>
                <w:tcPr>
                  <w:tcW w:w="408" w:type="pct"/>
                  <w:vMerge w:val="continue"/>
                  <w:vAlign w:val="center"/>
                </w:tcPr>
                <w:p w14:paraId="7D43D6C5">
                  <w:pPr>
                    <w:widowControl/>
                    <w:snapToGrid w:val="0"/>
                    <w:spacing w:line="240" w:lineRule="auto"/>
                    <w:ind w:firstLine="0" w:firstLineChars="0"/>
                    <w:jc w:val="center"/>
                    <w:rPr>
                      <w:kern w:val="0"/>
                      <w:sz w:val="21"/>
                      <w:szCs w:val="21"/>
                    </w:rPr>
                  </w:pPr>
                </w:p>
              </w:tc>
              <w:tc>
                <w:tcPr>
                  <w:tcW w:w="758" w:type="pct"/>
                  <w:gridSpan w:val="2"/>
                  <w:vAlign w:val="center"/>
                </w:tcPr>
                <w:p w14:paraId="6120E297">
                  <w:pPr>
                    <w:widowControl/>
                    <w:snapToGrid w:val="0"/>
                    <w:spacing w:line="240" w:lineRule="auto"/>
                    <w:ind w:firstLine="0" w:firstLineChars="0"/>
                    <w:jc w:val="center"/>
                    <w:rPr>
                      <w:kern w:val="0"/>
                      <w:sz w:val="21"/>
                      <w:szCs w:val="21"/>
                    </w:rPr>
                  </w:pPr>
                  <w:r>
                    <w:rPr>
                      <w:kern w:val="0"/>
                      <w:sz w:val="21"/>
                      <w:szCs w:val="21"/>
                    </w:rPr>
                    <w:t>废水</w:t>
                  </w:r>
                </w:p>
              </w:tc>
              <w:tc>
                <w:tcPr>
                  <w:tcW w:w="3690" w:type="pct"/>
                  <w:gridSpan w:val="3"/>
                  <w:vAlign w:val="center"/>
                </w:tcPr>
                <w:p w14:paraId="0CE1CD90">
                  <w:pPr>
                    <w:widowControl/>
                    <w:snapToGrid w:val="0"/>
                    <w:spacing w:line="240" w:lineRule="auto"/>
                    <w:ind w:firstLine="0" w:firstLineChars="0"/>
                    <w:rPr>
                      <w:kern w:val="0"/>
                      <w:sz w:val="21"/>
                      <w:szCs w:val="21"/>
                    </w:rPr>
                  </w:pPr>
                  <w:r>
                    <w:rPr>
                      <w:kern w:val="0"/>
                      <w:sz w:val="21"/>
                      <w:szCs w:val="21"/>
                    </w:rPr>
                    <w:t>员工生活污水:生活废水经三级化粪池预处理，随后进入自建污水处理站处理，处理达标后经市政管网进入</w:t>
                  </w:r>
                  <w:r>
                    <w:rPr>
                      <w:rFonts w:hint="eastAsia"/>
                      <w:kern w:val="0"/>
                      <w:sz w:val="21"/>
                      <w:szCs w:val="21"/>
                      <w:lang w:val="en-US" w:eastAsia="zh-CN"/>
                    </w:rPr>
                    <w:t>潮阳区</w:t>
                  </w:r>
                  <w:r>
                    <w:rPr>
                      <w:kern w:val="0"/>
                      <w:sz w:val="21"/>
                      <w:szCs w:val="21"/>
                    </w:rPr>
                    <w:t>污水处理厂处理。</w:t>
                  </w:r>
                </w:p>
              </w:tc>
            </w:tr>
            <w:tr w14:paraId="75D3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pct"/>
                <w:trHeight w:val="23" w:hRule="atLeast"/>
                <w:tblHeader/>
              </w:trPr>
              <w:tc>
                <w:tcPr>
                  <w:tcW w:w="408" w:type="pct"/>
                  <w:vMerge w:val="continue"/>
                  <w:vAlign w:val="center"/>
                </w:tcPr>
                <w:p w14:paraId="53C46D25">
                  <w:pPr>
                    <w:widowControl/>
                    <w:snapToGrid w:val="0"/>
                    <w:spacing w:line="240" w:lineRule="auto"/>
                    <w:ind w:firstLine="0" w:firstLineChars="0"/>
                    <w:jc w:val="center"/>
                    <w:rPr>
                      <w:kern w:val="0"/>
                      <w:sz w:val="21"/>
                      <w:szCs w:val="21"/>
                    </w:rPr>
                  </w:pPr>
                </w:p>
              </w:tc>
              <w:tc>
                <w:tcPr>
                  <w:tcW w:w="758" w:type="pct"/>
                  <w:gridSpan w:val="2"/>
                  <w:vAlign w:val="center"/>
                </w:tcPr>
                <w:p w14:paraId="250BE64C">
                  <w:pPr>
                    <w:widowControl/>
                    <w:snapToGrid w:val="0"/>
                    <w:spacing w:line="240" w:lineRule="auto"/>
                    <w:ind w:firstLine="0" w:firstLineChars="0"/>
                    <w:jc w:val="center"/>
                    <w:rPr>
                      <w:kern w:val="0"/>
                      <w:sz w:val="21"/>
                      <w:szCs w:val="21"/>
                    </w:rPr>
                  </w:pPr>
                  <w:r>
                    <w:rPr>
                      <w:kern w:val="0"/>
                      <w:sz w:val="21"/>
                      <w:szCs w:val="21"/>
                    </w:rPr>
                    <w:t>噪声</w:t>
                  </w:r>
                </w:p>
              </w:tc>
              <w:tc>
                <w:tcPr>
                  <w:tcW w:w="3690" w:type="pct"/>
                  <w:gridSpan w:val="3"/>
                  <w:vAlign w:val="center"/>
                </w:tcPr>
                <w:p w14:paraId="4A23C34E">
                  <w:pPr>
                    <w:widowControl/>
                    <w:snapToGrid w:val="0"/>
                    <w:spacing w:line="240" w:lineRule="auto"/>
                    <w:ind w:firstLine="0" w:firstLineChars="0"/>
                    <w:rPr>
                      <w:kern w:val="0"/>
                      <w:sz w:val="21"/>
                      <w:szCs w:val="21"/>
                    </w:rPr>
                  </w:pPr>
                  <w:r>
                    <w:rPr>
                      <w:kern w:val="0"/>
                      <w:sz w:val="21"/>
                      <w:szCs w:val="21"/>
                    </w:rPr>
                    <w:t>项目选用低噪声设备，对风机配置消声器，对</w:t>
                  </w:r>
                  <w:r>
                    <w:rPr>
                      <w:rFonts w:hint="eastAsia"/>
                      <w:kern w:val="0"/>
                      <w:sz w:val="21"/>
                      <w:szCs w:val="21"/>
                      <w:lang w:val="en-US" w:eastAsia="zh-CN"/>
                    </w:rPr>
                    <w:t>搅拌罐</w:t>
                  </w:r>
                  <w:r>
                    <w:rPr>
                      <w:kern w:val="0"/>
                      <w:sz w:val="21"/>
                      <w:szCs w:val="21"/>
                    </w:rPr>
                    <w:t>等设备采取基础减振、尽量降低噪声源强。</w:t>
                  </w:r>
                </w:p>
              </w:tc>
            </w:tr>
            <w:tr w14:paraId="6B3E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10" w:type="pct"/>
                  <w:gridSpan w:val="2"/>
                  <w:vMerge w:val="restart"/>
                  <w:vAlign w:val="center"/>
                </w:tcPr>
                <w:p w14:paraId="536FEEBA">
                  <w:pPr>
                    <w:widowControl/>
                    <w:snapToGrid w:val="0"/>
                    <w:spacing w:line="240" w:lineRule="auto"/>
                    <w:ind w:firstLine="0" w:firstLineChars="0"/>
                    <w:jc w:val="center"/>
                    <w:rPr>
                      <w:kern w:val="0"/>
                      <w:sz w:val="21"/>
                      <w:szCs w:val="21"/>
                    </w:rPr>
                  </w:pPr>
                </w:p>
              </w:tc>
              <w:tc>
                <w:tcPr>
                  <w:tcW w:w="759" w:type="pct"/>
                  <w:gridSpan w:val="2"/>
                  <w:vMerge w:val="restart"/>
                  <w:vAlign w:val="center"/>
                </w:tcPr>
                <w:p w14:paraId="72A4B24D">
                  <w:pPr>
                    <w:widowControl/>
                    <w:snapToGrid w:val="0"/>
                    <w:spacing w:line="240" w:lineRule="auto"/>
                    <w:ind w:firstLine="0" w:firstLineChars="0"/>
                    <w:jc w:val="center"/>
                    <w:rPr>
                      <w:kern w:val="0"/>
                      <w:sz w:val="21"/>
                      <w:szCs w:val="21"/>
                    </w:rPr>
                  </w:pPr>
                  <w:r>
                    <w:rPr>
                      <w:kern w:val="0"/>
                      <w:sz w:val="21"/>
                      <w:szCs w:val="21"/>
                    </w:rPr>
                    <w:t>固废</w:t>
                  </w:r>
                </w:p>
              </w:tc>
              <w:tc>
                <w:tcPr>
                  <w:tcW w:w="568" w:type="pct"/>
                  <w:vAlign w:val="center"/>
                </w:tcPr>
                <w:p w14:paraId="579CE4D0">
                  <w:pPr>
                    <w:widowControl/>
                    <w:snapToGrid w:val="0"/>
                    <w:spacing w:line="240" w:lineRule="auto"/>
                    <w:ind w:firstLine="0" w:firstLineChars="0"/>
                    <w:jc w:val="center"/>
                    <w:rPr>
                      <w:kern w:val="0"/>
                      <w:sz w:val="21"/>
                      <w:szCs w:val="21"/>
                    </w:rPr>
                  </w:pPr>
                  <w:r>
                    <w:rPr>
                      <w:kern w:val="0"/>
                      <w:sz w:val="21"/>
                      <w:szCs w:val="21"/>
                    </w:rPr>
                    <w:t>一般</w:t>
                  </w:r>
                </w:p>
                <w:p w14:paraId="27567FA1">
                  <w:pPr>
                    <w:widowControl/>
                    <w:snapToGrid w:val="0"/>
                    <w:spacing w:line="240" w:lineRule="auto"/>
                    <w:ind w:firstLine="0" w:firstLineChars="0"/>
                    <w:jc w:val="center"/>
                    <w:rPr>
                      <w:kern w:val="0"/>
                      <w:sz w:val="21"/>
                      <w:szCs w:val="21"/>
                    </w:rPr>
                  </w:pPr>
                  <w:r>
                    <w:rPr>
                      <w:kern w:val="0"/>
                      <w:sz w:val="21"/>
                      <w:szCs w:val="21"/>
                    </w:rPr>
                    <w:t>固废</w:t>
                  </w:r>
                </w:p>
              </w:tc>
              <w:tc>
                <w:tcPr>
                  <w:tcW w:w="3261" w:type="pct"/>
                  <w:gridSpan w:val="2"/>
                  <w:vAlign w:val="center"/>
                </w:tcPr>
                <w:p w14:paraId="679AB1D4">
                  <w:pPr>
                    <w:widowControl/>
                    <w:snapToGrid w:val="0"/>
                    <w:spacing w:line="240" w:lineRule="auto"/>
                    <w:ind w:firstLine="0" w:firstLineChars="0"/>
                    <w:rPr>
                      <w:kern w:val="0"/>
                      <w:sz w:val="21"/>
                      <w:szCs w:val="21"/>
                    </w:rPr>
                  </w:pPr>
                  <w:r>
                    <w:rPr>
                      <w:kern w:val="0"/>
                      <w:sz w:val="21"/>
                      <w:szCs w:val="21"/>
                    </w:rPr>
                    <w:t>设置一般固废间，废包装</w:t>
                  </w:r>
                  <w:r>
                    <w:rPr>
                      <w:rFonts w:hint="eastAsia"/>
                      <w:kern w:val="0"/>
                      <w:sz w:val="21"/>
                      <w:szCs w:val="21"/>
                      <w:lang w:val="en-US" w:eastAsia="zh-CN"/>
                    </w:rPr>
                    <w:t>袋，包装桶、集尘</w:t>
                  </w:r>
                  <w:r>
                    <w:rPr>
                      <w:kern w:val="0"/>
                      <w:sz w:val="21"/>
                      <w:szCs w:val="21"/>
                    </w:rPr>
                    <w:t>收集、暂存于一般固废间，不定期外售，资源化利用；设置生活垃圾收集桶，生活垃圾由环卫部门日产日清。</w:t>
                  </w:r>
                </w:p>
              </w:tc>
            </w:tr>
            <w:tr w14:paraId="2A09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trPr>
              <w:tc>
                <w:tcPr>
                  <w:tcW w:w="410" w:type="pct"/>
                  <w:gridSpan w:val="2"/>
                  <w:vMerge w:val="continue"/>
                  <w:vAlign w:val="center"/>
                </w:tcPr>
                <w:p w14:paraId="547A5347">
                  <w:pPr>
                    <w:widowControl/>
                    <w:snapToGrid w:val="0"/>
                    <w:spacing w:line="240" w:lineRule="auto"/>
                    <w:ind w:firstLine="0" w:firstLineChars="0"/>
                    <w:jc w:val="center"/>
                    <w:rPr>
                      <w:kern w:val="0"/>
                      <w:sz w:val="21"/>
                      <w:szCs w:val="21"/>
                    </w:rPr>
                  </w:pPr>
                </w:p>
              </w:tc>
              <w:tc>
                <w:tcPr>
                  <w:tcW w:w="759" w:type="pct"/>
                  <w:gridSpan w:val="2"/>
                  <w:vMerge w:val="continue"/>
                  <w:vAlign w:val="center"/>
                </w:tcPr>
                <w:p w14:paraId="2112046F">
                  <w:pPr>
                    <w:widowControl/>
                    <w:snapToGrid w:val="0"/>
                    <w:spacing w:line="240" w:lineRule="auto"/>
                    <w:ind w:firstLine="0" w:firstLineChars="0"/>
                    <w:jc w:val="center"/>
                    <w:rPr>
                      <w:kern w:val="0"/>
                      <w:sz w:val="21"/>
                      <w:szCs w:val="21"/>
                    </w:rPr>
                  </w:pPr>
                </w:p>
              </w:tc>
              <w:tc>
                <w:tcPr>
                  <w:tcW w:w="568" w:type="pct"/>
                  <w:vAlign w:val="center"/>
                </w:tcPr>
                <w:p w14:paraId="06A9765E">
                  <w:pPr>
                    <w:widowControl/>
                    <w:snapToGrid w:val="0"/>
                    <w:spacing w:line="240" w:lineRule="auto"/>
                    <w:ind w:firstLine="0" w:firstLineChars="0"/>
                    <w:jc w:val="center"/>
                    <w:rPr>
                      <w:kern w:val="0"/>
                      <w:sz w:val="21"/>
                      <w:szCs w:val="21"/>
                    </w:rPr>
                  </w:pPr>
                  <w:r>
                    <w:rPr>
                      <w:kern w:val="0"/>
                      <w:sz w:val="21"/>
                      <w:szCs w:val="21"/>
                    </w:rPr>
                    <w:t>危险废物</w:t>
                  </w:r>
                </w:p>
              </w:tc>
              <w:tc>
                <w:tcPr>
                  <w:tcW w:w="3261" w:type="pct"/>
                  <w:gridSpan w:val="2"/>
                  <w:vAlign w:val="center"/>
                </w:tcPr>
                <w:p w14:paraId="5AC2D46F">
                  <w:pPr>
                    <w:widowControl/>
                    <w:snapToGrid w:val="0"/>
                    <w:spacing w:line="240" w:lineRule="auto"/>
                    <w:ind w:firstLine="0" w:firstLineChars="0"/>
                    <w:rPr>
                      <w:kern w:val="0"/>
                      <w:sz w:val="21"/>
                      <w:szCs w:val="21"/>
                    </w:rPr>
                  </w:pPr>
                  <w:r>
                    <w:rPr>
                      <w:rFonts w:hint="eastAsia"/>
                      <w:kern w:val="0"/>
                      <w:sz w:val="21"/>
                      <w:szCs w:val="21"/>
                    </w:rPr>
                    <w:t>废溶剂桶、废活性炭、废机油、废机油桶</w:t>
                  </w:r>
                  <w:r>
                    <w:rPr>
                      <w:kern w:val="0"/>
                      <w:sz w:val="21"/>
                      <w:szCs w:val="21"/>
                    </w:rPr>
                    <w:t>分类收集，严格按照标准规范要求设置危险废物暂存间，定期委托有资质的单位进行清运。</w:t>
                  </w:r>
                </w:p>
              </w:tc>
            </w:tr>
          </w:tbl>
          <w:p w14:paraId="374A20A5">
            <w:pPr>
              <w:pStyle w:val="112"/>
              <w:spacing w:before="78" w:line="360" w:lineRule="auto"/>
              <w:ind w:left="105"/>
              <w:outlineLvl w:val="1"/>
              <w:rPr>
                <w:rFonts w:ascii="Times New Roman" w:hAnsi="Times New Roman" w:eastAsia="宋体" w:cs="Times New Roman"/>
                <w:b/>
                <w:bCs/>
                <w:kern w:val="2"/>
                <w:sz w:val="24"/>
                <w:szCs w:val="22"/>
                <w:lang w:val="en-US" w:eastAsia="zh-CN" w:bidi="ar-SA"/>
              </w:rPr>
            </w:pPr>
            <w:r>
              <w:rPr>
                <w:rFonts w:ascii="Times New Roman" w:hAnsi="Times New Roman" w:eastAsia="宋体" w:cs="Times New Roman"/>
                <w:b/>
                <w:bCs/>
                <w:kern w:val="2"/>
                <w:sz w:val="24"/>
                <w:szCs w:val="22"/>
                <w:lang w:val="en-US" w:eastAsia="zh-CN" w:bidi="ar-SA"/>
              </w:rPr>
              <w:t>2.4 产品方案</w:t>
            </w:r>
          </w:p>
          <w:p w14:paraId="32773EC7">
            <w:pPr>
              <w:pStyle w:val="112"/>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产品明细见表 2-</w:t>
            </w:r>
            <w:r>
              <w:rPr>
                <w:rFonts w:hint="eastAsia" w:ascii="Times New Roman" w:hAnsi="Times New Roman" w:cs="Times New Roman"/>
                <w:kern w:val="2"/>
                <w:sz w:val="24"/>
                <w:szCs w:val="22"/>
                <w:lang w:val="en-US" w:eastAsia="zh-CN" w:bidi="ar-SA"/>
              </w:rPr>
              <w:t>2</w:t>
            </w:r>
            <w:r>
              <w:rPr>
                <w:rFonts w:ascii="Times New Roman" w:hAnsi="Times New Roman" w:eastAsia="宋体" w:cs="Times New Roman"/>
                <w:kern w:val="2"/>
                <w:sz w:val="24"/>
                <w:szCs w:val="22"/>
                <w:lang w:val="en-US" w:eastAsia="zh-CN" w:bidi="ar-SA"/>
              </w:rPr>
              <w:t>。</w:t>
            </w:r>
          </w:p>
          <w:p w14:paraId="3ED87092">
            <w:pPr>
              <w:adjustRightInd w:val="0"/>
              <w:snapToGrid w:val="0"/>
              <w:spacing w:line="300" w:lineRule="auto"/>
              <w:ind w:left="0" w:leftChars="0" w:firstLine="0" w:firstLineChars="0"/>
              <w:jc w:val="center"/>
              <w:rPr>
                <w:b/>
                <w:bCs/>
                <w:szCs w:val="22"/>
              </w:rPr>
            </w:pPr>
            <w:r>
              <w:rPr>
                <w:b/>
                <w:bCs/>
                <w:spacing w:val="-3"/>
              </w:rPr>
              <w:t>表</w:t>
            </w:r>
            <w:r>
              <w:rPr>
                <w:spacing w:val="-41"/>
              </w:rPr>
              <w:t xml:space="preserve"> </w:t>
            </w:r>
            <w:r>
              <w:rPr>
                <w:rFonts w:ascii="Times New Roman" w:hAnsi="Times New Roman" w:eastAsia="Times New Roman" w:cs="Times New Roman"/>
                <w:b/>
                <w:bCs/>
                <w:spacing w:val="-3"/>
              </w:rPr>
              <w:t>2-</w:t>
            </w:r>
            <w:r>
              <w:rPr>
                <w:rFonts w:hint="eastAsia" w:eastAsia="宋体" w:cs="Times New Roman"/>
                <w:b/>
                <w:bCs/>
                <w:spacing w:val="-3"/>
                <w:lang w:val="en-US" w:eastAsia="zh-CN"/>
              </w:rPr>
              <w:t xml:space="preserve">2  </w:t>
            </w:r>
            <w:r>
              <w:rPr>
                <w:b/>
                <w:bCs/>
                <w:spacing w:val="-3"/>
              </w:rPr>
              <w:t>产品方案一览表</w:t>
            </w:r>
          </w:p>
          <w:tbl>
            <w:tblPr>
              <w:tblStyle w:val="31"/>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387"/>
              <w:gridCol w:w="1676"/>
              <w:gridCol w:w="1676"/>
              <w:gridCol w:w="1676"/>
            </w:tblGrid>
            <w:tr w14:paraId="1D04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99" w:type="pct"/>
                  <w:noWrap/>
                  <w:vAlign w:val="center"/>
                </w:tcPr>
                <w:p w14:paraId="2BB8467D">
                  <w:pPr>
                    <w:widowControl/>
                    <w:snapToGrid w:val="0"/>
                    <w:spacing w:line="240" w:lineRule="auto"/>
                    <w:ind w:firstLine="0" w:firstLineChars="0"/>
                    <w:jc w:val="center"/>
                    <w:rPr>
                      <w:kern w:val="0"/>
                      <w:sz w:val="21"/>
                      <w:szCs w:val="21"/>
                    </w:rPr>
                  </w:pPr>
                  <w:r>
                    <w:rPr>
                      <w:kern w:val="0"/>
                      <w:sz w:val="21"/>
                      <w:szCs w:val="21"/>
                    </w:rPr>
                    <w:t>序号</w:t>
                  </w:r>
                </w:p>
              </w:tc>
              <w:tc>
                <w:tcPr>
                  <w:tcW w:w="1448" w:type="pct"/>
                  <w:shd w:val="clear" w:color="auto" w:fill="auto"/>
                  <w:noWrap/>
                  <w:vAlign w:val="center"/>
                </w:tcPr>
                <w:p w14:paraId="7860258B">
                  <w:pPr>
                    <w:widowControl/>
                    <w:snapToGrid w:val="0"/>
                    <w:spacing w:line="240" w:lineRule="auto"/>
                    <w:ind w:firstLine="0" w:firstLineChars="0"/>
                    <w:jc w:val="center"/>
                    <w:rPr>
                      <w:kern w:val="0"/>
                      <w:sz w:val="21"/>
                      <w:szCs w:val="21"/>
                    </w:rPr>
                  </w:pPr>
                  <w:r>
                    <w:rPr>
                      <w:kern w:val="0"/>
                      <w:sz w:val="21"/>
                      <w:szCs w:val="21"/>
                    </w:rPr>
                    <w:t>产品名称</w:t>
                  </w:r>
                </w:p>
              </w:tc>
              <w:tc>
                <w:tcPr>
                  <w:tcW w:w="1017" w:type="pct"/>
                  <w:shd w:val="clear" w:color="auto" w:fill="auto"/>
                  <w:noWrap/>
                  <w:vAlign w:val="center"/>
                </w:tcPr>
                <w:p w14:paraId="6DB18E71">
                  <w:pPr>
                    <w:widowControl/>
                    <w:snapToGrid w:val="0"/>
                    <w:spacing w:line="240" w:lineRule="auto"/>
                    <w:ind w:firstLine="0" w:firstLineChars="0"/>
                    <w:jc w:val="center"/>
                    <w:rPr>
                      <w:kern w:val="0"/>
                      <w:sz w:val="21"/>
                      <w:szCs w:val="21"/>
                    </w:rPr>
                  </w:pPr>
                  <w:r>
                    <w:rPr>
                      <w:kern w:val="0"/>
                      <w:sz w:val="21"/>
                      <w:szCs w:val="21"/>
                    </w:rPr>
                    <w:t>规格</w:t>
                  </w:r>
                </w:p>
              </w:tc>
              <w:tc>
                <w:tcPr>
                  <w:tcW w:w="1017" w:type="pct"/>
                  <w:shd w:val="clear" w:color="auto" w:fill="auto"/>
                  <w:noWrap/>
                  <w:vAlign w:val="center"/>
                </w:tcPr>
                <w:p w14:paraId="22D5A6C6">
                  <w:pPr>
                    <w:widowControl/>
                    <w:snapToGrid w:val="0"/>
                    <w:spacing w:line="240" w:lineRule="auto"/>
                    <w:ind w:firstLine="0" w:firstLineChars="0"/>
                    <w:jc w:val="center"/>
                    <w:rPr>
                      <w:kern w:val="0"/>
                      <w:sz w:val="21"/>
                      <w:szCs w:val="21"/>
                    </w:rPr>
                  </w:pPr>
                  <w:r>
                    <w:rPr>
                      <w:kern w:val="0"/>
                      <w:sz w:val="21"/>
                      <w:szCs w:val="21"/>
                    </w:rPr>
                    <w:t>产量（t/a）</w:t>
                  </w:r>
                </w:p>
              </w:tc>
              <w:tc>
                <w:tcPr>
                  <w:tcW w:w="1017" w:type="pct"/>
                  <w:shd w:val="clear" w:color="auto" w:fill="auto"/>
                  <w:noWrap/>
                  <w:vAlign w:val="center"/>
                </w:tcPr>
                <w:p w14:paraId="09B200A0">
                  <w:pPr>
                    <w:widowControl/>
                    <w:snapToGrid w:val="0"/>
                    <w:spacing w:line="240" w:lineRule="auto"/>
                    <w:ind w:firstLine="0" w:firstLineChars="0"/>
                    <w:jc w:val="center"/>
                    <w:rPr>
                      <w:kern w:val="0"/>
                      <w:sz w:val="21"/>
                      <w:szCs w:val="21"/>
                    </w:rPr>
                  </w:pPr>
                  <w:r>
                    <w:rPr>
                      <w:kern w:val="0"/>
                      <w:sz w:val="21"/>
                      <w:szCs w:val="21"/>
                    </w:rPr>
                    <w:t>备注</w:t>
                  </w:r>
                </w:p>
              </w:tc>
            </w:tr>
            <w:tr w14:paraId="5B53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99" w:type="pct"/>
                  <w:shd w:val="clear" w:color="auto" w:fill="auto"/>
                  <w:noWrap/>
                  <w:vAlign w:val="center"/>
                </w:tcPr>
                <w:p w14:paraId="482477DF">
                  <w:pPr>
                    <w:widowControl/>
                    <w:snapToGrid w:val="0"/>
                    <w:spacing w:line="240" w:lineRule="auto"/>
                    <w:ind w:firstLine="0" w:firstLineChars="0"/>
                    <w:jc w:val="center"/>
                    <w:rPr>
                      <w:kern w:val="0"/>
                      <w:sz w:val="21"/>
                      <w:szCs w:val="21"/>
                    </w:rPr>
                  </w:pPr>
                  <w:r>
                    <w:rPr>
                      <w:kern w:val="0"/>
                      <w:sz w:val="21"/>
                      <w:szCs w:val="21"/>
                    </w:rPr>
                    <w:t>1</w:t>
                  </w:r>
                </w:p>
              </w:tc>
              <w:tc>
                <w:tcPr>
                  <w:tcW w:w="1448" w:type="pct"/>
                  <w:shd w:val="clear" w:color="auto" w:fill="auto"/>
                  <w:noWrap/>
                  <w:vAlign w:val="center"/>
                </w:tcPr>
                <w:p w14:paraId="05BEACA3">
                  <w:pPr>
                    <w:widowControl/>
                    <w:snapToGrid w:val="0"/>
                    <w:spacing w:line="240" w:lineRule="auto"/>
                    <w:ind w:firstLine="0" w:firstLineChars="0"/>
                    <w:jc w:val="center"/>
                    <w:rPr>
                      <w:kern w:val="0"/>
                      <w:sz w:val="21"/>
                      <w:szCs w:val="21"/>
                    </w:rPr>
                  </w:pPr>
                  <w:r>
                    <w:rPr>
                      <w:kern w:val="0"/>
                      <w:sz w:val="21"/>
                      <w:szCs w:val="21"/>
                    </w:rPr>
                    <w:t>纺织油剂</w:t>
                  </w:r>
                  <w:r>
                    <w:rPr>
                      <w:rFonts w:hint="eastAsia"/>
                      <w:kern w:val="0"/>
                      <w:sz w:val="21"/>
                      <w:szCs w:val="21"/>
                    </w:rPr>
                    <w:t>（液体）</w:t>
                  </w:r>
                </w:p>
              </w:tc>
              <w:tc>
                <w:tcPr>
                  <w:tcW w:w="1017" w:type="pct"/>
                  <w:shd w:val="clear" w:color="auto" w:fill="auto"/>
                  <w:noWrap/>
                  <w:vAlign w:val="center"/>
                </w:tcPr>
                <w:p w14:paraId="1B3CB4F4">
                  <w:pPr>
                    <w:widowControl/>
                    <w:snapToGrid w:val="0"/>
                    <w:spacing w:line="240" w:lineRule="auto"/>
                    <w:ind w:firstLine="0" w:firstLineChars="0"/>
                    <w:jc w:val="center"/>
                    <w:rPr>
                      <w:kern w:val="0"/>
                      <w:sz w:val="21"/>
                      <w:szCs w:val="21"/>
                    </w:rPr>
                  </w:pPr>
                  <w:r>
                    <w:rPr>
                      <w:rFonts w:hint="eastAsia"/>
                      <w:kern w:val="0"/>
                      <w:sz w:val="21"/>
                      <w:szCs w:val="21"/>
                    </w:rPr>
                    <w:t>850kg/桶</w:t>
                  </w:r>
                </w:p>
              </w:tc>
              <w:tc>
                <w:tcPr>
                  <w:tcW w:w="1017" w:type="pct"/>
                  <w:shd w:val="clear" w:color="auto" w:fill="auto"/>
                  <w:noWrap/>
                  <w:vAlign w:val="center"/>
                </w:tcPr>
                <w:p w14:paraId="2AEFC5A5">
                  <w:pPr>
                    <w:widowControl/>
                    <w:snapToGrid w:val="0"/>
                    <w:spacing w:line="240" w:lineRule="auto"/>
                    <w:ind w:firstLine="0" w:firstLineChars="0"/>
                    <w:jc w:val="center"/>
                    <w:rPr>
                      <w:kern w:val="0"/>
                      <w:sz w:val="21"/>
                      <w:szCs w:val="21"/>
                    </w:rPr>
                  </w:pPr>
                  <w:r>
                    <w:rPr>
                      <w:rFonts w:hint="eastAsia"/>
                      <w:kern w:val="0"/>
                      <w:sz w:val="21"/>
                      <w:szCs w:val="21"/>
                      <w:lang w:val="en-US" w:eastAsia="zh-CN"/>
                    </w:rPr>
                    <w:t>45</w:t>
                  </w:r>
                  <w:r>
                    <w:rPr>
                      <w:kern w:val="0"/>
                      <w:sz w:val="21"/>
                      <w:szCs w:val="21"/>
                    </w:rPr>
                    <w:t>00</w:t>
                  </w:r>
                  <w:r>
                    <w:rPr>
                      <w:rFonts w:hint="eastAsia"/>
                      <w:kern w:val="0"/>
                      <w:sz w:val="21"/>
                      <w:szCs w:val="21"/>
                    </w:rPr>
                    <w:t>吨/年</w:t>
                  </w:r>
                </w:p>
              </w:tc>
              <w:tc>
                <w:tcPr>
                  <w:tcW w:w="1017" w:type="pct"/>
                  <w:shd w:val="clear" w:color="auto" w:fill="auto"/>
                  <w:noWrap/>
                  <w:vAlign w:val="center"/>
                </w:tcPr>
                <w:p w14:paraId="66AAA352">
                  <w:pPr>
                    <w:widowControl/>
                    <w:snapToGrid w:val="0"/>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有机助剂</w:t>
                  </w:r>
                </w:p>
              </w:tc>
            </w:tr>
            <w:tr w14:paraId="3298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99" w:type="pct"/>
                  <w:shd w:val="clear" w:color="auto" w:fill="auto"/>
                  <w:noWrap/>
                  <w:vAlign w:val="center"/>
                </w:tcPr>
                <w:p w14:paraId="543B8D97">
                  <w:pPr>
                    <w:widowControl/>
                    <w:snapToGrid w:val="0"/>
                    <w:spacing w:line="240" w:lineRule="auto"/>
                    <w:ind w:firstLine="0" w:firstLineChars="0"/>
                    <w:jc w:val="center"/>
                    <w:rPr>
                      <w:kern w:val="0"/>
                      <w:sz w:val="21"/>
                      <w:szCs w:val="21"/>
                    </w:rPr>
                  </w:pPr>
                  <w:r>
                    <w:rPr>
                      <w:kern w:val="0"/>
                      <w:sz w:val="21"/>
                      <w:szCs w:val="21"/>
                    </w:rPr>
                    <w:t>2</w:t>
                  </w:r>
                </w:p>
              </w:tc>
              <w:tc>
                <w:tcPr>
                  <w:tcW w:w="1448" w:type="pct"/>
                  <w:shd w:val="clear" w:color="auto" w:fill="auto"/>
                  <w:noWrap/>
                  <w:vAlign w:val="center"/>
                </w:tcPr>
                <w:p w14:paraId="45E3271B">
                  <w:pPr>
                    <w:widowControl/>
                    <w:snapToGrid w:val="0"/>
                    <w:spacing w:line="240" w:lineRule="auto"/>
                    <w:ind w:firstLine="0" w:firstLineChars="0"/>
                    <w:jc w:val="center"/>
                    <w:rPr>
                      <w:kern w:val="0"/>
                      <w:sz w:val="21"/>
                      <w:szCs w:val="21"/>
                    </w:rPr>
                  </w:pPr>
                  <w:r>
                    <w:rPr>
                      <w:kern w:val="0"/>
                      <w:sz w:val="21"/>
                      <w:szCs w:val="21"/>
                    </w:rPr>
                    <w:t>除油剂</w:t>
                  </w:r>
                  <w:r>
                    <w:rPr>
                      <w:rFonts w:hint="eastAsia"/>
                      <w:kern w:val="0"/>
                      <w:sz w:val="21"/>
                      <w:szCs w:val="21"/>
                    </w:rPr>
                    <w:t>（液体）</w:t>
                  </w:r>
                </w:p>
              </w:tc>
              <w:tc>
                <w:tcPr>
                  <w:tcW w:w="1017" w:type="pct"/>
                  <w:shd w:val="clear" w:color="auto" w:fill="auto"/>
                  <w:noWrap/>
                  <w:vAlign w:val="center"/>
                </w:tcPr>
                <w:p w14:paraId="5293D3D7">
                  <w:pPr>
                    <w:widowControl/>
                    <w:snapToGrid w:val="0"/>
                    <w:spacing w:line="240" w:lineRule="auto"/>
                    <w:ind w:firstLine="0" w:firstLineChars="0"/>
                    <w:jc w:val="center"/>
                    <w:rPr>
                      <w:kern w:val="0"/>
                      <w:sz w:val="21"/>
                      <w:szCs w:val="21"/>
                    </w:rPr>
                  </w:pPr>
                  <w:r>
                    <w:rPr>
                      <w:rFonts w:hint="eastAsia"/>
                      <w:kern w:val="0"/>
                      <w:sz w:val="21"/>
                      <w:szCs w:val="21"/>
                    </w:rPr>
                    <w:t>125kg/桶</w:t>
                  </w:r>
                </w:p>
              </w:tc>
              <w:tc>
                <w:tcPr>
                  <w:tcW w:w="1017" w:type="pct"/>
                  <w:shd w:val="clear" w:color="auto" w:fill="auto"/>
                  <w:noWrap/>
                  <w:vAlign w:val="center"/>
                </w:tcPr>
                <w:p w14:paraId="14CB2AA0">
                  <w:pPr>
                    <w:widowControl/>
                    <w:snapToGrid w:val="0"/>
                    <w:spacing w:line="240" w:lineRule="auto"/>
                    <w:ind w:firstLine="0" w:firstLineChars="0"/>
                    <w:jc w:val="center"/>
                    <w:rPr>
                      <w:kern w:val="0"/>
                      <w:sz w:val="21"/>
                      <w:szCs w:val="21"/>
                    </w:rPr>
                  </w:pPr>
                  <w:r>
                    <w:rPr>
                      <w:rFonts w:hint="eastAsia"/>
                      <w:kern w:val="0"/>
                      <w:sz w:val="21"/>
                      <w:szCs w:val="21"/>
                      <w:lang w:val="en-US" w:eastAsia="zh-CN"/>
                    </w:rPr>
                    <w:t>400</w:t>
                  </w:r>
                  <w:r>
                    <w:rPr>
                      <w:rFonts w:hint="eastAsia"/>
                      <w:kern w:val="0"/>
                      <w:sz w:val="21"/>
                      <w:szCs w:val="21"/>
                    </w:rPr>
                    <w:t>吨/年</w:t>
                  </w:r>
                </w:p>
              </w:tc>
              <w:tc>
                <w:tcPr>
                  <w:tcW w:w="1017" w:type="pct"/>
                  <w:shd w:val="clear" w:color="auto" w:fill="auto"/>
                  <w:noWrap/>
                  <w:vAlign w:val="center"/>
                </w:tcPr>
                <w:p w14:paraId="48C63C91">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有机助剂</w:t>
                  </w:r>
                </w:p>
              </w:tc>
            </w:tr>
            <w:tr w14:paraId="7B33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99" w:type="pct"/>
                  <w:shd w:val="clear" w:color="auto" w:fill="auto"/>
                  <w:noWrap/>
                  <w:vAlign w:val="center"/>
                </w:tcPr>
                <w:p w14:paraId="5221C649">
                  <w:pPr>
                    <w:widowControl/>
                    <w:snapToGrid w:val="0"/>
                    <w:spacing w:line="240" w:lineRule="auto"/>
                    <w:ind w:firstLine="0" w:firstLineChars="0"/>
                    <w:jc w:val="center"/>
                    <w:rPr>
                      <w:kern w:val="0"/>
                      <w:sz w:val="21"/>
                      <w:szCs w:val="21"/>
                    </w:rPr>
                  </w:pPr>
                  <w:r>
                    <w:rPr>
                      <w:kern w:val="0"/>
                      <w:sz w:val="21"/>
                      <w:szCs w:val="21"/>
                    </w:rPr>
                    <w:t>3</w:t>
                  </w:r>
                </w:p>
              </w:tc>
              <w:tc>
                <w:tcPr>
                  <w:tcW w:w="1448" w:type="pct"/>
                  <w:shd w:val="clear" w:color="auto" w:fill="auto"/>
                  <w:noWrap/>
                  <w:vAlign w:val="center"/>
                </w:tcPr>
                <w:p w14:paraId="62116CF3">
                  <w:pPr>
                    <w:widowControl/>
                    <w:snapToGrid w:val="0"/>
                    <w:spacing w:line="240" w:lineRule="auto"/>
                    <w:ind w:firstLine="0" w:firstLineChars="0"/>
                    <w:jc w:val="center"/>
                    <w:rPr>
                      <w:kern w:val="0"/>
                      <w:sz w:val="21"/>
                      <w:szCs w:val="21"/>
                    </w:rPr>
                  </w:pPr>
                  <w:r>
                    <w:rPr>
                      <w:kern w:val="0"/>
                      <w:sz w:val="21"/>
                      <w:szCs w:val="21"/>
                    </w:rPr>
                    <w:t>柔软剂</w:t>
                  </w:r>
                  <w:r>
                    <w:rPr>
                      <w:rFonts w:hint="eastAsia"/>
                      <w:kern w:val="0"/>
                      <w:sz w:val="21"/>
                      <w:szCs w:val="21"/>
                    </w:rPr>
                    <w:t>（液体）</w:t>
                  </w:r>
                </w:p>
              </w:tc>
              <w:tc>
                <w:tcPr>
                  <w:tcW w:w="1017" w:type="pct"/>
                  <w:shd w:val="clear" w:color="auto" w:fill="auto"/>
                  <w:noWrap/>
                  <w:vAlign w:val="center"/>
                </w:tcPr>
                <w:p w14:paraId="096A9F57">
                  <w:pPr>
                    <w:widowControl/>
                    <w:snapToGrid w:val="0"/>
                    <w:spacing w:line="240" w:lineRule="auto"/>
                    <w:ind w:firstLine="0" w:firstLineChars="0"/>
                    <w:jc w:val="center"/>
                    <w:rPr>
                      <w:kern w:val="0"/>
                      <w:sz w:val="21"/>
                      <w:szCs w:val="21"/>
                    </w:rPr>
                  </w:pPr>
                  <w:r>
                    <w:rPr>
                      <w:rFonts w:hint="eastAsia"/>
                      <w:kern w:val="0"/>
                      <w:sz w:val="21"/>
                      <w:szCs w:val="21"/>
                    </w:rPr>
                    <w:t>125kg/桶</w:t>
                  </w:r>
                </w:p>
              </w:tc>
              <w:tc>
                <w:tcPr>
                  <w:tcW w:w="1017" w:type="pct"/>
                  <w:shd w:val="clear" w:color="auto" w:fill="auto"/>
                  <w:noWrap/>
                  <w:vAlign w:val="center"/>
                </w:tcPr>
                <w:p w14:paraId="06ACA917">
                  <w:pPr>
                    <w:widowControl/>
                    <w:snapToGrid w:val="0"/>
                    <w:spacing w:line="240" w:lineRule="auto"/>
                    <w:ind w:firstLine="0" w:firstLineChars="0"/>
                    <w:jc w:val="center"/>
                    <w:rPr>
                      <w:kern w:val="0"/>
                      <w:sz w:val="21"/>
                      <w:szCs w:val="21"/>
                    </w:rPr>
                  </w:pPr>
                  <w:r>
                    <w:rPr>
                      <w:rFonts w:hint="eastAsia"/>
                      <w:kern w:val="0"/>
                      <w:sz w:val="21"/>
                      <w:szCs w:val="21"/>
                      <w:lang w:val="en-US" w:eastAsia="zh-CN"/>
                    </w:rPr>
                    <w:t>1500</w:t>
                  </w:r>
                  <w:r>
                    <w:rPr>
                      <w:rFonts w:hint="eastAsia"/>
                      <w:kern w:val="0"/>
                      <w:sz w:val="21"/>
                      <w:szCs w:val="21"/>
                    </w:rPr>
                    <w:t>吨/年</w:t>
                  </w:r>
                </w:p>
              </w:tc>
              <w:tc>
                <w:tcPr>
                  <w:tcW w:w="1017" w:type="pct"/>
                  <w:shd w:val="clear" w:color="auto" w:fill="auto"/>
                  <w:noWrap/>
                  <w:vAlign w:val="center"/>
                </w:tcPr>
                <w:p w14:paraId="0B72D18F">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有机助剂</w:t>
                  </w:r>
                </w:p>
              </w:tc>
            </w:tr>
            <w:tr w14:paraId="2B0D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9" w:type="pct"/>
                  <w:shd w:val="clear" w:color="auto" w:fill="auto"/>
                  <w:noWrap/>
                  <w:vAlign w:val="center"/>
                </w:tcPr>
                <w:p w14:paraId="2617DB13">
                  <w:pPr>
                    <w:widowControl/>
                    <w:snapToGrid w:val="0"/>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4</w:t>
                  </w:r>
                </w:p>
              </w:tc>
              <w:tc>
                <w:tcPr>
                  <w:tcW w:w="1448" w:type="pct"/>
                  <w:shd w:val="clear" w:color="auto" w:fill="auto"/>
                  <w:noWrap/>
                  <w:vAlign w:val="center"/>
                </w:tcPr>
                <w:p w14:paraId="0C640167">
                  <w:pPr>
                    <w:widowControl/>
                    <w:snapToGrid w:val="0"/>
                    <w:spacing w:line="240" w:lineRule="auto"/>
                    <w:ind w:firstLine="0" w:firstLineChars="0"/>
                    <w:jc w:val="center"/>
                    <w:rPr>
                      <w:kern w:val="0"/>
                      <w:sz w:val="21"/>
                      <w:szCs w:val="21"/>
                    </w:rPr>
                  </w:pPr>
                  <w:r>
                    <w:rPr>
                      <w:rFonts w:hint="eastAsia"/>
                      <w:kern w:val="0"/>
                      <w:sz w:val="21"/>
                      <w:szCs w:val="21"/>
                    </w:rPr>
                    <w:t>精炼酶（粉剂）</w:t>
                  </w:r>
                </w:p>
              </w:tc>
              <w:tc>
                <w:tcPr>
                  <w:tcW w:w="1017" w:type="pct"/>
                  <w:shd w:val="clear" w:color="auto" w:fill="auto"/>
                  <w:noWrap/>
                  <w:vAlign w:val="center"/>
                </w:tcPr>
                <w:p w14:paraId="62D77149">
                  <w:pPr>
                    <w:widowControl/>
                    <w:snapToGrid w:val="0"/>
                    <w:spacing w:line="240" w:lineRule="auto"/>
                    <w:ind w:firstLine="0" w:firstLineChars="0"/>
                    <w:jc w:val="center"/>
                    <w:rPr>
                      <w:rFonts w:hint="eastAsia"/>
                      <w:kern w:val="0"/>
                      <w:sz w:val="21"/>
                      <w:szCs w:val="21"/>
                      <w:lang w:eastAsia="zh-CN"/>
                    </w:rPr>
                  </w:pPr>
                  <w:r>
                    <w:rPr>
                      <w:rFonts w:hint="eastAsia"/>
                      <w:kern w:val="0"/>
                      <w:sz w:val="21"/>
                      <w:szCs w:val="21"/>
                    </w:rPr>
                    <w:t>25kg/</w:t>
                  </w:r>
                  <w:r>
                    <w:rPr>
                      <w:rFonts w:hint="eastAsia"/>
                      <w:kern w:val="0"/>
                      <w:sz w:val="21"/>
                      <w:szCs w:val="21"/>
                      <w:lang w:val="en-US" w:eastAsia="zh-CN"/>
                    </w:rPr>
                    <w:t>袋</w:t>
                  </w:r>
                </w:p>
              </w:tc>
              <w:tc>
                <w:tcPr>
                  <w:tcW w:w="1017" w:type="pct"/>
                  <w:shd w:val="clear" w:color="auto" w:fill="auto"/>
                  <w:noWrap/>
                  <w:vAlign w:val="center"/>
                </w:tcPr>
                <w:p w14:paraId="0E9D83D0">
                  <w:pPr>
                    <w:widowControl/>
                    <w:snapToGrid w:val="0"/>
                    <w:spacing w:line="240" w:lineRule="auto"/>
                    <w:ind w:firstLine="0" w:firstLineChars="0"/>
                    <w:jc w:val="center"/>
                    <w:rPr>
                      <w:kern w:val="0"/>
                      <w:sz w:val="21"/>
                      <w:szCs w:val="21"/>
                    </w:rPr>
                  </w:pPr>
                  <w:r>
                    <w:rPr>
                      <w:rFonts w:hint="eastAsia"/>
                      <w:kern w:val="0"/>
                      <w:sz w:val="21"/>
                      <w:szCs w:val="21"/>
                      <w:lang w:val="en-US" w:eastAsia="zh-CN"/>
                    </w:rPr>
                    <w:t>250</w:t>
                  </w:r>
                  <w:r>
                    <w:rPr>
                      <w:rFonts w:hint="eastAsia"/>
                      <w:kern w:val="0"/>
                      <w:sz w:val="21"/>
                      <w:szCs w:val="21"/>
                    </w:rPr>
                    <w:t>吨/年</w:t>
                  </w:r>
                </w:p>
              </w:tc>
              <w:tc>
                <w:tcPr>
                  <w:tcW w:w="1017" w:type="pct"/>
                  <w:shd w:val="clear" w:color="auto" w:fill="auto"/>
                  <w:noWrap/>
                  <w:vAlign w:val="center"/>
                </w:tcPr>
                <w:p w14:paraId="0C80A983">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无机助剂</w:t>
                  </w:r>
                </w:p>
              </w:tc>
            </w:tr>
          </w:tbl>
          <w:p w14:paraId="41A80828">
            <w:pPr>
              <w:adjustRightInd w:val="0"/>
              <w:snapToGrid w:val="0"/>
              <w:spacing w:line="300" w:lineRule="auto"/>
              <w:ind w:left="0" w:leftChars="0" w:firstLine="482" w:firstLineChars="200"/>
              <w:rPr>
                <w:rFonts w:hint="default" w:eastAsia="宋体"/>
                <w:b/>
                <w:bCs/>
                <w:szCs w:val="22"/>
                <w:lang w:val="en-US" w:eastAsia="zh-CN"/>
              </w:rPr>
            </w:pPr>
            <w:r>
              <w:rPr>
                <w:rFonts w:hint="eastAsia"/>
                <w:b/>
                <w:bCs/>
                <w:szCs w:val="22"/>
                <w:lang w:val="en-US" w:eastAsia="zh-CN"/>
              </w:rPr>
              <w:t>产能核算：</w:t>
            </w:r>
          </w:p>
          <w:p w14:paraId="2ED9412F">
            <w:pPr>
              <w:adjustRightInd w:val="0"/>
              <w:snapToGrid w:val="0"/>
              <w:spacing w:line="300" w:lineRule="auto"/>
              <w:ind w:left="0" w:leftChars="0" w:firstLine="456" w:firstLineChars="0"/>
              <w:jc w:val="both"/>
              <w:rPr>
                <w:rFonts w:hint="default" w:eastAsia="Times New Roman" w:cs="Times New Roman"/>
                <w:b w:val="0"/>
                <w:bCs w:val="0"/>
                <w:spacing w:val="-3"/>
                <w:lang w:val="en-US" w:eastAsia="zh-CN"/>
              </w:rPr>
            </w:pPr>
            <w:r>
              <w:rPr>
                <w:rFonts w:hint="eastAsia" w:eastAsia="Times New Roman" w:cs="Times New Roman"/>
                <w:b w:val="0"/>
                <w:bCs w:val="0"/>
                <w:spacing w:val="-3"/>
                <w:lang w:val="en-US" w:eastAsia="zh-CN"/>
              </w:rPr>
              <w:t>本项目理论产能按下式进行计算，计算结果见表2-3。</w:t>
            </w:r>
          </w:p>
          <w:p w14:paraId="3EF790B9">
            <w:pPr>
              <w:adjustRightInd w:val="0"/>
              <w:snapToGrid w:val="0"/>
              <w:spacing w:line="300" w:lineRule="auto"/>
              <w:ind w:left="0" w:leftChars="0" w:firstLine="456" w:firstLineChars="0"/>
              <w:jc w:val="both"/>
              <w:rPr>
                <w:rFonts w:hint="eastAsia" w:eastAsia="Times New Roman" w:cs="Times New Roman"/>
                <w:b/>
                <w:bCs/>
                <w:spacing w:val="-3"/>
                <w:lang w:val="en-US" w:eastAsia="zh-CN"/>
              </w:rPr>
            </w:pPr>
            <w:r>
              <w:rPr>
                <w:rFonts w:hint="eastAsia" w:eastAsia="Times New Roman" w:cs="Times New Roman"/>
                <w:b/>
                <w:bCs/>
                <w:spacing w:val="-3"/>
                <w:lang w:val="en-US" w:eastAsia="zh-CN"/>
              </w:rPr>
              <w:t>理论产能=搅拌罐规格吨数*填充系数*每日生产批次*年工作天数</w:t>
            </w:r>
          </w:p>
          <w:p w14:paraId="6ED7C70D">
            <w:pPr>
              <w:adjustRightInd w:val="0"/>
              <w:snapToGrid w:val="0"/>
              <w:spacing w:line="300" w:lineRule="auto"/>
              <w:ind w:left="0" w:leftChars="0" w:firstLine="0" w:firstLineChars="0"/>
              <w:jc w:val="center"/>
              <w:rPr>
                <w:rFonts w:hint="default" w:ascii="Times New Roman" w:hAnsi="Times New Roman" w:eastAsia="Times New Roman" w:cs="Times New Roman"/>
                <w:b/>
                <w:bCs/>
                <w:spacing w:val="-3"/>
                <w:lang w:val="en-US" w:eastAsia="zh-CN"/>
              </w:rPr>
            </w:pPr>
            <w:r>
              <w:rPr>
                <w:rFonts w:hint="eastAsia" w:eastAsia="Times New Roman" w:cs="Times New Roman"/>
                <w:b/>
                <w:bCs/>
                <w:spacing w:val="-3"/>
                <w:lang w:val="en-US" w:eastAsia="zh-CN"/>
              </w:rPr>
              <w:t xml:space="preserve">表2-3 </w:t>
            </w:r>
            <w:r>
              <w:rPr>
                <w:rFonts w:hint="eastAsia" w:ascii="Times New Roman" w:hAnsi="Times New Roman" w:eastAsia="Times New Roman" w:cs="Times New Roman"/>
                <w:b/>
                <w:bCs/>
                <w:spacing w:val="-3"/>
                <w:lang w:val="en-US" w:eastAsia="zh-CN"/>
              </w:rPr>
              <w:t>产能核算</w:t>
            </w:r>
            <w:r>
              <w:rPr>
                <w:rFonts w:hint="eastAsia" w:eastAsia="Times New Roman" w:cs="Times New Roman"/>
                <w:b/>
                <w:bCs/>
                <w:spacing w:val="-3"/>
                <w:lang w:val="en-US" w:eastAsia="zh-CN"/>
              </w:rPr>
              <w:t>情况</w:t>
            </w:r>
            <w:r>
              <w:rPr>
                <w:rFonts w:hint="eastAsia" w:ascii="Times New Roman" w:hAnsi="Times New Roman" w:eastAsia="Times New Roman" w:cs="Times New Roman"/>
                <w:b/>
                <w:bCs/>
                <w:spacing w:val="-3"/>
                <w:lang w:val="en-US" w:eastAsia="zh-CN"/>
              </w:rPr>
              <w:t>表</w:t>
            </w:r>
          </w:p>
          <w:tbl>
            <w:tblPr>
              <w:tblStyle w:val="31"/>
              <w:tblW w:w="1155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783"/>
              <w:gridCol w:w="1039"/>
              <w:gridCol w:w="1138"/>
              <w:gridCol w:w="990"/>
              <w:gridCol w:w="882"/>
              <w:gridCol w:w="783"/>
              <w:gridCol w:w="784"/>
              <w:gridCol w:w="1070"/>
            </w:tblGrid>
            <w:tr w14:paraId="19EA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046A">
                  <w:pPr>
                    <w:widowControl/>
                    <w:snapToGrid w:val="0"/>
                    <w:spacing w:line="240" w:lineRule="auto"/>
                    <w:ind w:firstLine="0" w:firstLineChars="0"/>
                    <w:jc w:val="center"/>
                    <w:rPr>
                      <w:rFonts w:hint="eastAsia"/>
                      <w:b/>
                      <w:bCs/>
                      <w:kern w:val="0"/>
                      <w:sz w:val="21"/>
                      <w:szCs w:val="21"/>
                    </w:rPr>
                  </w:pPr>
                  <w:r>
                    <w:rPr>
                      <w:rFonts w:hint="eastAsia"/>
                      <w:b/>
                      <w:bCs/>
                      <w:kern w:val="0"/>
                      <w:sz w:val="21"/>
                      <w:szCs w:val="21"/>
                      <w:lang w:val="en-US" w:eastAsia="zh-CN"/>
                    </w:rPr>
                    <w:t>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DA5D">
                  <w:pPr>
                    <w:widowControl/>
                    <w:snapToGrid w:val="0"/>
                    <w:spacing w:line="240" w:lineRule="auto"/>
                    <w:ind w:firstLine="0" w:firstLineChars="0"/>
                    <w:jc w:val="center"/>
                    <w:rPr>
                      <w:rFonts w:hint="eastAsia"/>
                      <w:b/>
                      <w:bCs/>
                      <w:kern w:val="0"/>
                      <w:sz w:val="21"/>
                      <w:szCs w:val="21"/>
                    </w:rPr>
                  </w:pPr>
                  <w:r>
                    <w:rPr>
                      <w:rFonts w:hint="eastAsia"/>
                      <w:b/>
                      <w:bCs/>
                      <w:kern w:val="0"/>
                      <w:sz w:val="21"/>
                      <w:szCs w:val="21"/>
                      <w:lang w:val="en-US" w:eastAsia="zh-CN"/>
                    </w:rPr>
                    <w:t>规格型号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2639">
                  <w:pPr>
                    <w:widowControl/>
                    <w:snapToGrid w:val="0"/>
                    <w:spacing w:line="240" w:lineRule="auto"/>
                    <w:ind w:firstLine="0" w:firstLineChars="0"/>
                    <w:jc w:val="center"/>
                    <w:rPr>
                      <w:rFonts w:hint="eastAsia"/>
                      <w:b/>
                      <w:bCs/>
                      <w:kern w:val="0"/>
                      <w:sz w:val="21"/>
                      <w:szCs w:val="21"/>
                    </w:rPr>
                  </w:pPr>
                  <w:r>
                    <w:rPr>
                      <w:rFonts w:hint="eastAsia"/>
                      <w:b/>
                      <w:bCs/>
                      <w:kern w:val="0"/>
                      <w:sz w:val="21"/>
                      <w:szCs w:val="21"/>
                      <w:lang w:val="en-US" w:eastAsia="zh-CN"/>
                    </w:rPr>
                    <w:t>数量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0D71">
                  <w:pPr>
                    <w:widowControl/>
                    <w:snapToGrid w:val="0"/>
                    <w:spacing w:line="240" w:lineRule="auto"/>
                    <w:ind w:firstLine="0" w:firstLineChars="0"/>
                    <w:jc w:val="center"/>
                    <w:rPr>
                      <w:rFonts w:hint="eastAsia"/>
                      <w:b/>
                      <w:bCs/>
                      <w:kern w:val="0"/>
                      <w:sz w:val="21"/>
                      <w:szCs w:val="21"/>
                    </w:rPr>
                  </w:pPr>
                  <w:r>
                    <w:rPr>
                      <w:rFonts w:hint="eastAsia"/>
                      <w:b/>
                      <w:bCs/>
                      <w:kern w:val="0"/>
                      <w:sz w:val="21"/>
                      <w:szCs w:val="21"/>
                      <w:lang w:val="en-US" w:eastAsia="zh-CN"/>
                    </w:rPr>
                    <w:t>生产装载系数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2F0F">
                  <w:pPr>
                    <w:widowControl/>
                    <w:snapToGrid w:val="0"/>
                    <w:spacing w:line="240" w:lineRule="auto"/>
                    <w:ind w:firstLine="0" w:firstLineChars="0"/>
                    <w:jc w:val="center"/>
                    <w:rPr>
                      <w:rFonts w:hint="eastAsia"/>
                      <w:b/>
                      <w:bCs/>
                      <w:kern w:val="0"/>
                      <w:sz w:val="21"/>
                      <w:szCs w:val="21"/>
                    </w:rPr>
                  </w:pPr>
                  <w:r>
                    <w:rPr>
                      <w:rFonts w:hint="eastAsia"/>
                      <w:b/>
                      <w:bCs/>
                      <w:kern w:val="0"/>
                      <w:sz w:val="21"/>
                      <w:szCs w:val="21"/>
                      <w:lang w:val="en-US" w:eastAsia="zh-CN"/>
                    </w:rPr>
                    <w:t>每日生产批次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8A56">
                  <w:pPr>
                    <w:widowControl/>
                    <w:snapToGrid w:val="0"/>
                    <w:spacing w:line="240" w:lineRule="auto"/>
                    <w:ind w:firstLine="0" w:firstLineChars="0"/>
                    <w:jc w:val="center"/>
                    <w:rPr>
                      <w:rFonts w:hint="eastAsia"/>
                      <w:b/>
                      <w:bCs/>
                      <w:kern w:val="0"/>
                      <w:sz w:val="21"/>
                      <w:szCs w:val="21"/>
                    </w:rPr>
                  </w:pPr>
                  <w:r>
                    <w:rPr>
                      <w:rFonts w:hint="eastAsia"/>
                      <w:b/>
                      <w:bCs/>
                      <w:kern w:val="0"/>
                      <w:sz w:val="21"/>
                      <w:szCs w:val="21"/>
                      <w:lang w:val="en-US" w:eastAsia="zh-CN"/>
                    </w:rPr>
                    <w:t>年工作天数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4AB5">
                  <w:pPr>
                    <w:widowControl/>
                    <w:snapToGrid w:val="0"/>
                    <w:spacing w:line="240" w:lineRule="auto"/>
                    <w:ind w:firstLine="0" w:firstLineChars="0"/>
                    <w:jc w:val="center"/>
                    <w:rPr>
                      <w:rFonts w:hint="eastAsia"/>
                      <w:b/>
                      <w:bCs/>
                      <w:kern w:val="0"/>
                      <w:sz w:val="21"/>
                      <w:szCs w:val="21"/>
                    </w:rPr>
                  </w:pPr>
                  <w:r>
                    <w:rPr>
                      <w:rFonts w:hint="eastAsia"/>
                      <w:b/>
                      <w:bCs/>
                      <w:kern w:val="0"/>
                      <w:sz w:val="21"/>
                      <w:szCs w:val="21"/>
                      <w:lang w:val="en-US" w:eastAsia="zh-CN"/>
                    </w:rPr>
                    <w:t>理论产能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F348">
                  <w:pPr>
                    <w:widowControl/>
                    <w:snapToGrid w:val="0"/>
                    <w:spacing w:line="240" w:lineRule="auto"/>
                    <w:ind w:firstLine="0" w:firstLineChars="0"/>
                    <w:jc w:val="center"/>
                    <w:rPr>
                      <w:rFonts w:hint="eastAsia"/>
                      <w:b/>
                      <w:bCs/>
                      <w:kern w:val="0"/>
                      <w:sz w:val="21"/>
                      <w:szCs w:val="21"/>
                    </w:rPr>
                  </w:pPr>
                  <w:r>
                    <w:rPr>
                      <w:rFonts w:hint="eastAsia"/>
                      <w:b/>
                      <w:bCs/>
                      <w:kern w:val="0"/>
                      <w:sz w:val="21"/>
                      <w:szCs w:val="21"/>
                      <w:lang w:val="en-US" w:eastAsia="zh-CN"/>
                    </w:rPr>
                    <w:t>申报数量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74E7">
                  <w:pPr>
                    <w:widowControl/>
                    <w:snapToGrid w:val="0"/>
                    <w:spacing w:line="240" w:lineRule="auto"/>
                    <w:ind w:firstLine="0" w:firstLineChars="0"/>
                    <w:jc w:val="center"/>
                    <w:rPr>
                      <w:rFonts w:hint="eastAsia"/>
                      <w:b/>
                      <w:bCs/>
                      <w:kern w:val="0"/>
                      <w:sz w:val="21"/>
                      <w:szCs w:val="21"/>
                    </w:rPr>
                  </w:pPr>
                  <w:r>
                    <w:rPr>
                      <w:rFonts w:hint="eastAsia"/>
                      <w:b/>
                      <w:bCs/>
                      <w:kern w:val="0"/>
                      <w:sz w:val="21"/>
                      <w:szCs w:val="21"/>
                      <w:lang w:val="en-US" w:eastAsia="zh-CN"/>
                    </w:rPr>
                    <w:t>负荷</w:t>
                  </w:r>
                </w:p>
              </w:tc>
            </w:tr>
            <w:tr w14:paraId="011B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DD21">
                  <w:pPr>
                    <w:widowControl/>
                    <w:snapToGrid w:val="0"/>
                    <w:spacing w:line="240" w:lineRule="auto"/>
                    <w:ind w:firstLine="0" w:firstLineChars="0"/>
                    <w:jc w:val="center"/>
                    <w:rPr>
                      <w:rFonts w:hint="eastAsia"/>
                      <w:kern w:val="0"/>
                      <w:sz w:val="21"/>
                      <w:szCs w:val="21"/>
                    </w:rPr>
                  </w:pPr>
                  <w:r>
                    <w:rPr>
                      <w:rFonts w:hint="eastAsia"/>
                      <w:kern w:val="0"/>
                      <w:sz w:val="21"/>
                      <w:szCs w:val="21"/>
                      <w:lang w:val="en-US" w:eastAsia="zh-CN"/>
                    </w:rPr>
                    <w:t>柔软剂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AE2A">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r>
                    <w:rPr>
                      <w:rFonts w:hint="eastAsia"/>
                      <w:kern w:val="0"/>
                      <w:sz w:val="21"/>
                      <w:szCs w:val="21"/>
                      <w:lang w:val="en-US" w:eastAsia="zh-CN"/>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CBEA">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3</w:t>
                  </w:r>
                  <w:r>
                    <w:rPr>
                      <w:rFonts w:hint="eastAsia"/>
                      <w:kern w:val="0"/>
                      <w:sz w:val="21"/>
                      <w:szCs w:val="21"/>
                      <w:lang w:val="en-US" w:eastAsia="zh-CN"/>
                    </w:rPr>
                    <w:t>（</w:t>
                  </w:r>
                  <w:r>
                    <w:rPr>
                      <w:rFonts w:hint="default"/>
                      <w:kern w:val="0"/>
                      <w:sz w:val="21"/>
                      <w:szCs w:val="21"/>
                      <w:lang w:val="en-US" w:eastAsia="zh-CN"/>
                    </w:rPr>
                    <w:t>2</w:t>
                  </w:r>
                  <w:r>
                    <w:rPr>
                      <w:rFonts w:hint="eastAsia"/>
                      <w:kern w:val="0"/>
                      <w:sz w:val="21"/>
                      <w:szCs w:val="21"/>
                      <w:lang w:val="en-US" w:eastAsia="zh-CN"/>
                    </w:rPr>
                    <w:t>用一备）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8F82">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7683">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1B55">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729C">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A834">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8196">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r>
            <w:tr w14:paraId="2F87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14E2">
                  <w:pPr>
                    <w:widowControl/>
                    <w:snapToGrid w:val="0"/>
                    <w:spacing w:line="240" w:lineRule="auto"/>
                    <w:ind w:firstLine="0" w:firstLineChars="0"/>
                    <w:jc w:val="center"/>
                    <w:rPr>
                      <w:rFonts w:hint="eastAsia"/>
                      <w:kern w:val="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E4E9">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w:t>
                  </w:r>
                  <w:r>
                    <w:rPr>
                      <w:rFonts w:hint="eastAsia"/>
                      <w:kern w:val="0"/>
                      <w:sz w:val="21"/>
                      <w:szCs w:val="21"/>
                      <w:lang w:val="en-US" w:eastAsia="zh-CN"/>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6BF7">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DA14">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3196">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46EE">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F8A1">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5076">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E291">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r>
            <w:tr w14:paraId="42C4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78EF">
                  <w:pPr>
                    <w:widowControl/>
                    <w:snapToGrid w:val="0"/>
                    <w:spacing w:line="240" w:lineRule="auto"/>
                    <w:ind w:firstLine="0" w:firstLineChars="0"/>
                    <w:jc w:val="center"/>
                    <w:rPr>
                      <w:rFonts w:hint="eastAsia"/>
                      <w:kern w:val="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ED70">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3</w:t>
                  </w:r>
                  <w:r>
                    <w:rPr>
                      <w:rFonts w:hint="eastAsia"/>
                      <w:kern w:val="0"/>
                      <w:sz w:val="21"/>
                      <w:szCs w:val="21"/>
                      <w:lang w:val="en-US" w:eastAsia="zh-CN"/>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8819">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w:t>
                  </w:r>
                  <w:r>
                    <w:rPr>
                      <w:rFonts w:hint="eastAsia"/>
                      <w:kern w:val="0"/>
                      <w:sz w:val="21"/>
                      <w:szCs w:val="21"/>
                      <w:lang w:val="en-US" w:eastAsia="zh-CN"/>
                    </w:rPr>
                    <w:t>（一用一备）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8527">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BCBF">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A017">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6D0E">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FBEF">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6EEB">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r>
            <w:tr w14:paraId="2A0D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01CC">
                  <w:pPr>
                    <w:widowControl/>
                    <w:snapToGrid w:val="0"/>
                    <w:spacing w:line="240" w:lineRule="auto"/>
                    <w:ind w:firstLine="0" w:firstLineChars="0"/>
                    <w:jc w:val="center"/>
                    <w:rPr>
                      <w:rFonts w:hint="eastAsia"/>
                      <w:kern w:val="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69C9">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5</w:t>
                  </w:r>
                  <w:r>
                    <w:rPr>
                      <w:rFonts w:hint="eastAsia"/>
                      <w:kern w:val="0"/>
                      <w:sz w:val="21"/>
                      <w:szCs w:val="21"/>
                      <w:lang w:val="en-US" w:eastAsia="zh-CN"/>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D664">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A381">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0DCA">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A046">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77AE">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8905">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5052">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r>
            <w:tr w14:paraId="222C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7578">
                  <w:pPr>
                    <w:widowControl/>
                    <w:snapToGrid w:val="0"/>
                    <w:spacing w:line="240" w:lineRule="auto"/>
                    <w:ind w:firstLine="0" w:firstLineChars="0"/>
                    <w:jc w:val="center"/>
                    <w:rPr>
                      <w:rFonts w:hint="eastAsia"/>
                      <w:kern w:val="0"/>
                      <w:sz w:val="21"/>
                      <w:szCs w:val="21"/>
                    </w:rPr>
                  </w:pPr>
                </w:p>
              </w:tc>
              <w:tc>
                <w:tcPr>
                  <w:tcW w:w="67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D904">
                  <w:pPr>
                    <w:widowControl/>
                    <w:snapToGrid w:val="0"/>
                    <w:spacing w:line="240" w:lineRule="auto"/>
                    <w:ind w:firstLine="0" w:firstLineChars="0"/>
                    <w:jc w:val="center"/>
                    <w:rPr>
                      <w:rFonts w:hint="default"/>
                      <w:kern w:val="0"/>
                      <w:sz w:val="21"/>
                      <w:szCs w:val="21"/>
                    </w:rPr>
                  </w:pPr>
                  <w:r>
                    <w:rPr>
                      <w:rFonts w:hint="eastAsia"/>
                      <w:kern w:val="0"/>
                      <w:sz w:val="21"/>
                      <w:szCs w:val="21"/>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E4BE">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72DF">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D54F">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71%</w:t>
                  </w:r>
                </w:p>
              </w:tc>
            </w:tr>
            <w:tr w14:paraId="776F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04B">
                  <w:pPr>
                    <w:widowControl/>
                    <w:snapToGrid w:val="0"/>
                    <w:spacing w:line="240" w:lineRule="auto"/>
                    <w:ind w:firstLine="0" w:firstLineChars="0"/>
                    <w:jc w:val="center"/>
                    <w:rPr>
                      <w:rFonts w:hint="eastAsia"/>
                      <w:kern w:val="0"/>
                      <w:sz w:val="21"/>
                      <w:szCs w:val="21"/>
                    </w:rPr>
                  </w:pPr>
                  <w:r>
                    <w:rPr>
                      <w:rFonts w:hint="eastAsia"/>
                      <w:kern w:val="0"/>
                      <w:sz w:val="21"/>
                      <w:szCs w:val="21"/>
                      <w:lang w:val="en-US" w:eastAsia="zh-CN"/>
                    </w:rPr>
                    <w:t>除油剂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3196">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w:t>
                  </w:r>
                  <w:r>
                    <w:rPr>
                      <w:rFonts w:hint="eastAsia"/>
                      <w:kern w:val="0"/>
                      <w:sz w:val="21"/>
                      <w:szCs w:val="21"/>
                      <w:lang w:val="en-US" w:eastAsia="zh-CN"/>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6902">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44EB">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B31E">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B644">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BA77">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CBA2">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6600">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r>
            <w:tr w14:paraId="7E53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FEAC">
                  <w:pPr>
                    <w:widowControl/>
                    <w:snapToGrid w:val="0"/>
                    <w:spacing w:line="240" w:lineRule="auto"/>
                    <w:ind w:firstLine="0" w:firstLineChars="0"/>
                    <w:jc w:val="center"/>
                    <w:rPr>
                      <w:rFonts w:hint="eastAsia"/>
                      <w:kern w:val="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0FFD">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r>
                    <w:rPr>
                      <w:rFonts w:hint="eastAsia"/>
                      <w:kern w:val="0"/>
                      <w:sz w:val="21"/>
                      <w:szCs w:val="21"/>
                      <w:lang w:val="en-US" w:eastAsia="zh-CN"/>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714E">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AF3C">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9EFB">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871B">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B1E6">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934E">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FDE9">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r>
            <w:tr w14:paraId="5296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CD27">
                  <w:pPr>
                    <w:widowControl/>
                    <w:snapToGrid w:val="0"/>
                    <w:spacing w:line="240" w:lineRule="auto"/>
                    <w:ind w:firstLine="0" w:firstLineChars="0"/>
                    <w:jc w:val="center"/>
                    <w:rPr>
                      <w:rFonts w:hint="eastAsia"/>
                      <w:kern w:val="0"/>
                      <w:sz w:val="21"/>
                      <w:szCs w:val="21"/>
                    </w:rPr>
                  </w:pPr>
                </w:p>
              </w:tc>
              <w:tc>
                <w:tcPr>
                  <w:tcW w:w="67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0982">
                  <w:pPr>
                    <w:widowControl/>
                    <w:snapToGrid w:val="0"/>
                    <w:spacing w:line="240" w:lineRule="auto"/>
                    <w:ind w:firstLine="0" w:firstLineChars="0"/>
                    <w:jc w:val="center"/>
                    <w:rPr>
                      <w:rFonts w:hint="default"/>
                      <w:kern w:val="0"/>
                      <w:sz w:val="21"/>
                      <w:szCs w:val="21"/>
                    </w:rPr>
                  </w:pPr>
                  <w:r>
                    <w:rPr>
                      <w:rFonts w:hint="eastAsia"/>
                      <w:kern w:val="0"/>
                      <w:sz w:val="21"/>
                      <w:szCs w:val="21"/>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237F">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486B">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90B0">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76%</w:t>
                  </w:r>
                </w:p>
              </w:tc>
            </w:tr>
            <w:tr w14:paraId="3D0B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CCA3">
                  <w:pPr>
                    <w:widowControl/>
                    <w:snapToGrid w:val="0"/>
                    <w:spacing w:line="240" w:lineRule="auto"/>
                    <w:ind w:firstLine="0" w:firstLineChars="0"/>
                    <w:jc w:val="center"/>
                    <w:rPr>
                      <w:rFonts w:hint="eastAsia"/>
                      <w:kern w:val="0"/>
                      <w:sz w:val="21"/>
                      <w:szCs w:val="21"/>
                    </w:rPr>
                  </w:pPr>
                  <w:r>
                    <w:rPr>
                      <w:rFonts w:hint="eastAsia"/>
                      <w:kern w:val="0"/>
                      <w:sz w:val="21"/>
                      <w:szCs w:val="21"/>
                      <w:lang w:val="en-US" w:eastAsia="zh-CN"/>
                    </w:rPr>
                    <w:t>纺织油剂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6C68">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5</w:t>
                  </w:r>
                  <w:r>
                    <w:rPr>
                      <w:rFonts w:hint="eastAsia"/>
                      <w:kern w:val="0"/>
                      <w:sz w:val="21"/>
                      <w:szCs w:val="21"/>
                      <w:lang w:val="en-US" w:eastAsia="zh-CN"/>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92BC">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417C">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6CA0">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8C65">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1EE4">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7AA5">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2DEF">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r>
            <w:tr w14:paraId="4F95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8FAB">
                  <w:pPr>
                    <w:widowControl/>
                    <w:snapToGrid w:val="0"/>
                    <w:spacing w:line="240" w:lineRule="auto"/>
                    <w:ind w:firstLine="0" w:firstLineChars="0"/>
                    <w:jc w:val="center"/>
                    <w:rPr>
                      <w:rFonts w:hint="eastAsia"/>
                      <w:kern w:val="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E4C5">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10</w:t>
                  </w:r>
                  <w:r>
                    <w:rPr>
                      <w:rFonts w:hint="eastAsia"/>
                      <w:kern w:val="0"/>
                      <w:sz w:val="21"/>
                      <w:szCs w:val="21"/>
                      <w:lang w:val="en-US" w:eastAsia="zh-CN"/>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DD1">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4</w:t>
                  </w:r>
                  <w:r>
                    <w:rPr>
                      <w:rFonts w:hint="eastAsia"/>
                      <w:kern w:val="0"/>
                      <w:sz w:val="21"/>
                      <w:szCs w:val="21"/>
                      <w:lang w:val="en-US" w:eastAsia="zh-CN"/>
                    </w:rPr>
                    <w:t>（</w:t>
                  </w:r>
                  <w:r>
                    <w:rPr>
                      <w:rFonts w:hint="default"/>
                      <w:kern w:val="0"/>
                      <w:sz w:val="21"/>
                      <w:szCs w:val="21"/>
                      <w:lang w:val="en-US" w:eastAsia="zh-CN"/>
                    </w:rPr>
                    <w:t>3</w:t>
                  </w:r>
                  <w:r>
                    <w:rPr>
                      <w:rFonts w:hint="eastAsia"/>
                      <w:kern w:val="0"/>
                      <w:sz w:val="21"/>
                      <w:szCs w:val="21"/>
                      <w:lang w:val="en-US" w:eastAsia="zh-CN"/>
                    </w:rPr>
                    <w:t>用</w:t>
                  </w:r>
                  <w:r>
                    <w:rPr>
                      <w:rFonts w:hint="default"/>
                      <w:kern w:val="0"/>
                      <w:sz w:val="21"/>
                      <w:szCs w:val="21"/>
                      <w:lang w:val="en-US" w:eastAsia="zh-CN"/>
                    </w:rPr>
                    <w:t>1</w:t>
                  </w:r>
                  <w:r>
                    <w:rPr>
                      <w:rFonts w:hint="eastAsia"/>
                      <w:kern w:val="0"/>
                      <w:sz w:val="21"/>
                      <w:szCs w:val="21"/>
                      <w:lang w:val="en-US" w:eastAsia="zh-CN"/>
                    </w:rPr>
                    <w:t>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E19A">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9E3D">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7BD1">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75EB">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5250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04C3">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7591">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r>
            <w:tr w14:paraId="3D41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87A8">
                  <w:pPr>
                    <w:widowControl/>
                    <w:snapToGrid w:val="0"/>
                    <w:spacing w:line="240" w:lineRule="auto"/>
                    <w:ind w:firstLine="0" w:firstLineChars="0"/>
                    <w:jc w:val="center"/>
                    <w:rPr>
                      <w:rFonts w:hint="eastAsia"/>
                      <w:kern w:val="0"/>
                      <w:sz w:val="21"/>
                      <w:szCs w:val="21"/>
                    </w:rPr>
                  </w:pPr>
                </w:p>
              </w:tc>
              <w:tc>
                <w:tcPr>
                  <w:tcW w:w="67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1053">
                  <w:pPr>
                    <w:widowControl/>
                    <w:snapToGrid w:val="0"/>
                    <w:spacing w:line="240" w:lineRule="auto"/>
                    <w:ind w:firstLine="0" w:firstLineChars="0"/>
                    <w:jc w:val="center"/>
                    <w:rPr>
                      <w:rFonts w:hint="default"/>
                      <w:kern w:val="0"/>
                      <w:sz w:val="21"/>
                      <w:szCs w:val="21"/>
                    </w:rPr>
                  </w:pPr>
                  <w:r>
                    <w:rPr>
                      <w:rFonts w:hint="eastAsia"/>
                      <w:kern w:val="0"/>
                      <w:sz w:val="21"/>
                      <w:szCs w:val="21"/>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E9A8">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6125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47D1">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4500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0C3B">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73%</w:t>
                  </w:r>
                </w:p>
              </w:tc>
            </w:tr>
            <w:tr w14:paraId="296C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6412">
                  <w:pPr>
                    <w:widowControl/>
                    <w:snapToGrid w:val="0"/>
                    <w:spacing w:line="240" w:lineRule="auto"/>
                    <w:ind w:firstLine="0" w:firstLineChars="0"/>
                    <w:jc w:val="center"/>
                    <w:rPr>
                      <w:rFonts w:hint="eastAsia"/>
                      <w:kern w:val="0"/>
                      <w:sz w:val="21"/>
                      <w:szCs w:val="21"/>
                    </w:rPr>
                  </w:pPr>
                  <w:r>
                    <w:rPr>
                      <w:rFonts w:hint="eastAsia"/>
                      <w:kern w:val="0"/>
                      <w:sz w:val="21"/>
                      <w:szCs w:val="21"/>
                      <w:lang w:val="en-US" w:eastAsia="zh-CN"/>
                    </w:rPr>
                    <w:t>精炼酶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E78">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w:t>
                  </w:r>
                  <w:r>
                    <w:rPr>
                      <w:rFonts w:hint="eastAsia"/>
                      <w:kern w:val="0"/>
                      <w:sz w:val="21"/>
                      <w:szCs w:val="21"/>
                      <w:lang w:val="en-US" w:eastAsia="zh-CN"/>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36E1">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60F6">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EBC0">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C3CF">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A78E">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8588">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00A3">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w:t>
                  </w:r>
                </w:p>
              </w:tc>
            </w:tr>
            <w:tr w14:paraId="418F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7CB9">
                  <w:pPr>
                    <w:widowControl/>
                    <w:snapToGrid w:val="0"/>
                    <w:spacing w:line="240" w:lineRule="auto"/>
                    <w:ind w:firstLine="0" w:firstLineChars="0"/>
                    <w:jc w:val="center"/>
                    <w:rPr>
                      <w:rFonts w:hint="eastAsia"/>
                      <w:kern w:val="0"/>
                      <w:sz w:val="21"/>
                      <w:szCs w:val="21"/>
                    </w:rPr>
                  </w:pPr>
                </w:p>
              </w:tc>
              <w:tc>
                <w:tcPr>
                  <w:tcW w:w="67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2AF0">
                  <w:pPr>
                    <w:widowControl/>
                    <w:snapToGrid w:val="0"/>
                    <w:spacing w:line="240" w:lineRule="auto"/>
                    <w:ind w:firstLine="0" w:firstLineChars="0"/>
                    <w:jc w:val="center"/>
                    <w:rPr>
                      <w:rFonts w:hint="default"/>
                      <w:kern w:val="0"/>
                      <w:sz w:val="21"/>
                      <w:szCs w:val="21"/>
                    </w:rPr>
                  </w:pPr>
                  <w:r>
                    <w:rPr>
                      <w:rFonts w:hint="eastAsia"/>
                      <w:kern w:val="0"/>
                      <w:sz w:val="21"/>
                      <w:szCs w:val="21"/>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1649">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BFA6">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5B3E">
                  <w:pPr>
                    <w:widowControl/>
                    <w:snapToGrid w:val="0"/>
                    <w:spacing w:line="240" w:lineRule="auto"/>
                    <w:ind w:firstLine="0" w:firstLineChars="0"/>
                    <w:jc w:val="center"/>
                    <w:rPr>
                      <w:rFonts w:hint="default"/>
                      <w:kern w:val="0"/>
                      <w:sz w:val="21"/>
                      <w:szCs w:val="21"/>
                    </w:rPr>
                  </w:pPr>
                  <w:r>
                    <w:rPr>
                      <w:rFonts w:hint="default"/>
                      <w:kern w:val="0"/>
                      <w:sz w:val="21"/>
                      <w:szCs w:val="21"/>
                      <w:lang w:val="en-US" w:eastAsia="zh-CN"/>
                    </w:rPr>
                    <w:t>71.43%</w:t>
                  </w:r>
                </w:p>
              </w:tc>
            </w:tr>
          </w:tbl>
          <w:p w14:paraId="79234447">
            <w:pPr>
              <w:adjustRightInd w:val="0"/>
              <w:snapToGrid w:val="0"/>
              <w:spacing w:line="300" w:lineRule="auto"/>
              <w:ind w:left="0" w:leftChars="0" w:firstLine="480" w:firstLineChars="200"/>
              <w:rPr>
                <w:rFonts w:hint="default" w:eastAsia="宋体"/>
                <w:b w:val="0"/>
                <w:bCs w:val="0"/>
                <w:szCs w:val="22"/>
                <w:lang w:val="en-US" w:eastAsia="zh-CN"/>
              </w:rPr>
            </w:pPr>
            <w:r>
              <w:rPr>
                <w:rFonts w:hint="eastAsia"/>
                <w:b w:val="0"/>
                <w:bCs w:val="0"/>
                <w:szCs w:val="22"/>
                <w:lang w:val="en-US" w:eastAsia="zh-CN"/>
              </w:rPr>
              <w:t>由上表可知，本项目设计产能约为理论产能的71%~76%之间，结合建设单位以往生产经验，实际生产负荷约60%~80%之间，即本次申报设计产能合理。</w:t>
            </w:r>
          </w:p>
          <w:p w14:paraId="1E95178B">
            <w:pPr>
              <w:adjustRightInd w:val="0"/>
              <w:snapToGrid w:val="0"/>
              <w:spacing w:line="300" w:lineRule="auto"/>
              <w:ind w:firstLine="482"/>
              <w:rPr>
                <w:b/>
                <w:bCs/>
                <w:szCs w:val="22"/>
              </w:rPr>
            </w:pPr>
            <w:r>
              <w:rPr>
                <w:b/>
                <w:bCs/>
                <w:szCs w:val="22"/>
              </w:rPr>
              <w:t>3、本项目主要原辅材料</w:t>
            </w:r>
          </w:p>
          <w:p w14:paraId="2F1B08B1">
            <w:pPr>
              <w:adjustRightInd w:val="0"/>
              <w:snapToGrid w:val="0"/>
              <w:spacing w:line="300" w:lineRule="auto"/>
              <w:ind w:firstLine="480"/>
              <w:rPr>
                <w:szCs w:val="22"/>
              </w:rPr>
            </w:pPr>
            <w:r>
              <w:rPr>
                <w:szCs w:val="22"/>
              </w:rPr>
              <w:t>根据建设单位提供的资料，本项目原辅材料及能源消耗情况见下表。</w:t>
            </w:r>
          </w:p>
          <w:p w14:paraId="46EA7668">
            <w:pPr>
              <w:spacing w:line="240" w:lineRule="auto"/>
              <w:ind w:firstLine="0" w:firstLineChars="0"/>
              <w:jc w:val="center"/>
              <w:rPr>
                <w:b/>
                <w:bCs/>
                <w:szCs w:val="21"/>
                <w:highlight w:val="yellow"/>
              </w:rPr>
            </w:pPr>
            <w:r>
              <w:rPr>
                <w:b/>
                <w:bCs/>
                <w:szCs w:val="21"/>
              </w:rPr>
              <w:t>表2-</w:t>
            </w:r>
            <w:r>
              <w:rPr>
                <w:rFonts w:hint="eastAsia"/>
                <w:b/>
                <w:bCs/>
                <w:szCs w:val="21"/>
                <w:lang w:val="en-US" w:eastAsia="zh-CN"/>
              </w:rPr>
              <w:t>4</w:t>
            </w:r>
            <w:r>
              <w:rPr>
                <w:b/>
                <w:bCs/>
                <w:szCs w:val="21"/>
              </w:rPr>
              <w:t>项目主要原辅材料消耗</w:t>
            </w:r>
          </w:p>
          <w:tbl>
            <w:tblPr>
              <w:tblStyle w:val="31"/>
              <w:tblW w:w="827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2"/>
              <w:gridCol w:w="1182"/>
              <w:gridCol w:w="1182"/>
              <w:gridCol w:w="1182"/>
              <w:gridCol w:w="1183"/>
              <w:gridCol w:w="1183"/>
              <w:gridCol w:w="1183"/>
            </w:tblGrid>
            <w:tr w14:paraId="152B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EBFF">
                  <w:pPr>
                    <w:widowControl/>
                    <w:snapToGrid w:val="0"/>
                    <w:spacing w:line="240" w:lineRule="auto"/>
                    <w:ind w:firstLine="0" w:firstLineChars="0"/>
                    <w:jc w:val="center"/>
                    <w:rPr>
                      <w:rFonts w:hint="default"/>
                      <w:b/>
                      <w:bCs/>
                      <w:kern w:val="0"/>
                      <w:sz w:val="21"/>
                      <w:szCs w:val="21"/>
                      <w:lang w:val="en-US" w:eastAsia="zh-CN"/>
                    </w:rPr>
                  </w:pPr>
                  <w:r>
                    <w:rPr>
                      <w:rFonts w:hint="eastAsia"/>
                      <w:b/>
                      <w:bCs/>
                      <w:kern w:val="0"/>
                      <w:sz w:val="21"/>
                      <w:szCs w:val="21"/>
                      <w:lang w:val="en-US" w:eastAsia="zh-CN"/>
                    </w:rPr>
                    <w:t>原辅料名称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A0EB">
                  <w:pPr>
                    <w:widowControl/>
                    <w:snapToGrid w:val="0"/>
                    <w:spacing w:line="240" w:lineRule="auto"/>
                    <w:ind w:firstLine="0" w:firstLineChars="0"/>
                    <w:jc w:val="center"/>
                    <w:rPr>
                      <w:rFonts w:hint="default"/>
                      <w:b/>
                      <w:bCs/>
                      <w:kern w:val="0"/>
                      <w:sz w:val="21"/>
                      <w:szCs w:val="21"/>
                      <w:lang w:val="en-US" w:eastAsia="zh-CN"/>
                    </w:rPr>
                  </w:pPr>
                  <w:r>
                    <w:rPr>
                      <w:rFonts w:hint="eastAsia"/>
                      <w:b/>
                      <w:bCs/>
                      <w:kern w:val="0"/>
                      <w:sz w:val="21"/>
                      <w:szCs w:val="21"/>
                      <w:lang w:val="en-US" w:eastAsia="zh-CN"/>
                    </w:rPr>
                    <w:t>年用量（</w:t>
                  </w:r>
                  <w:r>
                    <w:rPr>
                      <w:rFonts w:hint="default"/>
                      <w:b/>
                      <w:bCs/>
                      <w:kern w:val="0"/>
                      <w:sz w:val="21"/>
                      <w:szCs w:val="21"/>
                      <w:lang w:val="en-US" w:eastAsia="zh-CN"/>
                    </w:rPr>
                    <w:t>t</w:t>
                  </w:r>
                  <w:r>
                    <w:rPr>
                      <w:rFonts w:hint="eastAsia"/>
                      <w:b/>
                      <w:bCs/>
                      <w:kern w:val="0"/>
                      <w:sz w:val="21"/>
                      <w:szCs w:val="21"/>
                      <w:lang w:val="en-US" w:eastAsia="zh-CN"/>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9F91">
                  <w:pPr>
                    <w:widowControl/>
                    <w:snapToGrid w:val="0"/>
                    <w:spacing w:line="240" w:lineRule="auto"/>
                    <w:ind w:firstLine="0" w:firstLineChars="0"/>
                    <w:jc w:val="center"/>
                    <w:rPr>
                      <w:rFonts w:hint="default"/>
                      <w:b/>
                      <w:bCs/>
                      <w:kern w:val="0"/>
                      <w:sz w:val="21"/>
                      <w:szCs w:val="21"/>
                      <w:lang w:val="en-US" w:eastAsia="zh-CN"/>
                    </w:rPr>
                  </w:pPr>
                  <w:r>
                    <w:rPr>
                      <w:rFonts w:hint="eastAsia"/>
                      <w:b/>
                      <w:bCs/>
                      <w:kern w:val="0"/>
                      <w:sz w:val="21"/>
                      <w:szCs w:val="21"/>
                      <w:lang w:val="en-US" w:eastAsia="zh-CN"/>
                    </w:rPr>
                    <w:t>最大存储量（</w:t>
                  </w:r>
                  <w:r>
                    <w:rPr>
                      <w:rFonts w:hint="default"/>
                      <w:b/>
                      <w:bCs/>
                      <w:kern w:val="0"/>
                      <w:sz w:val="21"/>
                      <w:szCs w:val="21"/>
                      <w:lang w:val="en-US" w:eastAsia="zh-CN"/>
                    </w:rPr>
                    <w:t>t</w:t>
                  </w:r>
                  <w:r>
                    <w:rPr>
                      <w:rFonts w:hint="eastAsia"/>
                      <w:b/>
                      <w:bCs/>
                      <w:kern w:val="0"/>
                      <w:sz w:val="21"/>
                      <w:szCs w:val="21"/>
                      <w:lang w:val="en-US" w:eastAsia="zh-CN"/>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7AB3">
                  <w:pPr>
                    <w:widowControl/>
                    <w:snapToGrid w:val="0"/>
                    <w:spacing w:line="240" w:lineRule="auto"/>
                    <w:ind w:firstLine="0" w:firstLineChars="0"/>
                    <w:jc w:val="center"/>
                    <w:rPr>
                      <w:rFonts w:hint="default"/>
                      <w:b/>
                      <w:bCs/>
                      <w:kern w:val="0"/>
                      <w:sz w:val="21"/>
                      <w:szCs w:val="21"/>
                      <w:lang w:val="en-US" w:eastAsia="zh-CN"/>
                    </w:rPr>
                  </w:pPr>
                  <w:r>
                    <w:rPr>
                      <w:rFonts w:hint="eastAsia"/>
                      <w:b/>
                      <w:bCs/>
                      <w:kern w:val="0"/>
                      <w:sz w:val="21"/>
                      <w:szCs w:val="21"/>
                      <w:lang w:val="en-US" w:eastAsia="zh-CN"/>
                    </w:rPr>
                    <w:t>规格</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704C">
                  <w:pPr>
                    <w:widowControl/>
                    <w:snapToGrid w:val="0"/>
                    <w:spacing w:line="240" w:lineRule="auto"/>
                    <w:ind w:firstLine="0" w:firstLineChars="0"/>
                    <w:jc w:val="center"/>
                    <w:rPr>
                      <w:rFonts w:hint="default"/>
                      <w:b/>
                      <w:bCs/>
                      <w:kern w:val="0"/>
                      <w:sz w:val="21"/>
                      <w:szCs w:val="21"/>
                      <w:lang w:val="en-US" w:eastAsia="zh-CN"/>
                    </w:rPr>
                  </w:pPr>
                  <w:r>
                    <w:rPr>
                      <w:rFonts w:hint="eastAsia"/>
                      <w:b/>
                      <w:bCs/>
                      <w:kern w:val="0"/>
                      <w:sz w:val="21"/>
                      <w:szCs w:val="21"/>
                      <w:lang w:val="en-US" w:eastAsia="zh-CN"/>
                    </w:rPr>
                    <w:t>包装方式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6385">
                  <w:pPr>
                    <w:widowControl/>
                    <w:snapToGrid w:val="0"/>
                    <w:spacing w:line="240" w:lineRule="auto"/>
                    <w:ind w:firstLine="0" w:firstLineChars="0"/>
                    <w:jc w:val="center"/>
                    <w:rPr>
                      <w:rFonts w:hint="default"/>
                      <w:b/>
                      <w:bCs/>
                      <w:kern w:val="0"/>
                      <w:sz w:val="21"/>
                      <w:szCs w:val="21"/>
                      <w:lang w:val="en-US" w:eastAsia="zh-CN"/>
                    </w:rPr>
                  </w:pPr>
                  <w:r>
                    <w:rPr>
                      <w:rFonts w:hint="eastAsia"/>
                      <w:b/>
                      <w:bCs/>
                      <w:kern w:val="0"/>
                      <w:sz w:val="21"/>
                      <w:szCs w:val="21"/>
                      <w:lang w:val="en-US" w:eastAsia="zh-CN"/>
                    </w:rPr>
                    <w:t>来源</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1705">
                  <w:pPr>
                    <w:widowControl/>
                    <w:snapToGrid w:val="0"/>
                    <w:spacing w:line="240" w:lineRule="auto"/>
                    <w:ind w:firstLine="0" w:firstLineChars="0"/>
                    <w:jc w:val="center"/>
                    <w:rPr>
                      <w:rFonts w:hint="default"/>
                      <w:b/>
                      <w:bCs/>
                      <w:kern w:val="0"/>
                      <w:sz w:val="21"/>
                      <w:szCs w:val="21"/>
                      <w:lang w:val="en-US" w:eastAsia="zh-CN"/>
                    </w:rPr>
                  </w:pPr>
                  <w:r>
                    <w:rPr>
                      <w:rFonts w:hint="eastAsia"/>
                      <w:b/>
                      <w:bCs/>
                      <w:kern w:val="0"/>
                      <w:sz w:val="21"/>
                      <w:szCs w:val="21"/>
                      <w:lang w:val="en-US" w:eastAsia="zh-CN"/>
                    </w:rPr>
                    <w:t>用途</w:t>
                  </w:r>
                </w:p>
              </w:tc>
            </w:tr>
            <w:tr w14:paraId="72E2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D55E">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工业白油</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0241">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7CD7">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5</w:t>
                  </w:r>
                  <w:r>
                    <w:rPr>
                      <w:rFonts w:hint="eastAsia"/>
                      <w:kern w:val="0"/>
                      <w:sz w:val="21"/>
                      <w:szCs w:val="21"/>
                      <w:lang w:val="en-US" w:eastAsia="zh-CN"/>
                    </w:rPr>
                    <w:t>23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AC3">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F237">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罐装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DEAE">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7157">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纺织油剂生产</w:t>
                  </w:r>
                </w:p>
              </w:tc>
            </w:tr>
            <w:tr w14:paraId="0ED4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FB4B">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乳化剂</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E271">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583.51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0E70">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B6F4">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200kg/</w:t>
                  </w:r>
                  <w:r>
                    <w:rPr>
                      <w:rFonts w:hint="eastAsia"/>
                      <w:kern w:val="0"/>
                      <w:sz w:val="21"/>
                      <w:szCs w:val="21"/>
                      <w:lang w:val="en-US" w:eastAsia="zh-CN"/>
                    </w:rPr>
                    <w:t>桶</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3119">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桶装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BA22">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1B9D">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纺织油剂、柔软剂生产</w:t>
                  </w:r>
                </w:p>
              </w:tc>
            </w:tr>
            <w:tr w14:paraId="0208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06B6">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脂肪醇聚氧乙烯醚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1741">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410.312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D2C0">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C5D3">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200kg/</w:t>
                  </w:r>
                  <w:r>
                    <w:rPr>
                      <w:rFonts w:hint="eastAsia"/>
                      <w:kern w:val="0"/>
                      <w:sz w:val="21"/>
                      <w:szCs w:val="21"/>
                      <w:lang w:val="en-US" w:eastAsia="zh-CN"/>
                    </w:rPr>
                    <w:t>桶</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9A7C">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桶装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6DDF">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82EA">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纺织油剂、除油剂生产</w:t>
                  </w:r>
                </w:p>
              </w:tc>
            </w:tr>
            <w:tr w14:paraId="49FF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A7BB">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二甲基硅油</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4827">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180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CFFC">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7EC4">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200kg/</w:t>
                  </w:r>
                  <w:r>
                    <w:rPr>
                      <w:rFonts w:hint="eastAsia"/>
                      <w:kern w:val="0"/>
                      <w:sz w:val="21"/>
                      <w:szCs w:val="21"/>
                      <w:lang w:val="en-US" w:eastAsia="zh-CN"/>
                    </w:rPr>
                    <w:t>桶</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5BF9">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桶装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0764">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FAD1">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柔软剂生产</w:t>
                  </w:r>
                </w:p>
              </w:tc>
            </w:tr>
            <w:tr w14:paraId="09DB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E6DD">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氨基硅油</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35F6">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171.17</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1AAC">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2D8F">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200kg/</w:t>
                  </w:r>
                  <w:r>
                    <w:rPr>
                      <w:rFonts w:hint="eastAsia"/>
                      <w:kern w:val="0"/>
                      <w:sz w:val="21"/>
                      <w:szCs w:val="21"/>
                      <w:lang w:val="en-US" w:eastAsia="zh-CN"/>
                    </w:rPr>
                    <w:t>桶</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71F2">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桶装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05FA">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43C0">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柔软剂生产</w:t>
                  </w:r>
                </w:p>
              </w:tc>
            </w:tr>
            <w:tr w14:paraId="792A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FD3B">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环氧硅油</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2CBD">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31C6">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3096">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200kg/</w:t>
                  </w:r>
                  <w:r>
                    <w:rPr>
                      <w:rFonts w:hint="eastAsia"/>
                      <w:kern w:val="0"/>
                      <w:sz w:val="21"/>
                      <w:szCs w:val="21"/>
                      <w:lang w:val="en-US" w:eastAsia="zh-CN"/>
                    </w:rPr>
                    <w:t>桶</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7633">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桶装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897D">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F8D2">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柔软剂生产</w:t>
                  </w:r>
                </w:p>
              </w:tc>
            </w:tr>
            <w:tr w14:paraId="7BE6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4B48">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乙二醇单丁醚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424D">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E070">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1A43">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200kg/</w:t>
                  </w:r>
                  <w:r>
                    <w:rPr>
                      <w:rFonts w:hint="eastAsia"/>
                      <w:kern w:val="0"/>
                      <w:sz w:val="21"/>
                      <w:szCs w:val="21"/>
                      <w:lang w:val="en-US" w:eastAsia="zh-CN"/>
                    </w:rPr>
                    <w:t>桶</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F7D9">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桶装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EC86">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87DA">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柔软剂生产</w:t>
                  </w:r>
                </w:p>
              </w:tc>
            </w:tr>
            <w:tr w14:paraId="0CB2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A3FF">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纯水</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F460">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960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0555">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0862">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3DAA">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F24A">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自制</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BB4E">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柔软剂、除油剂生产</w:t>
                  </w:r>
                </w:p>
              </w:tc>
            </w:tr>
            <w:tr w14:paraId="6A87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B44F">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氯化钠</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1FD6">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8C4B">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DE9B">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25kg/</w:t>
                  </w:r>
                  <w:r>
                    <w:rPr>
                      <w:rFonts w:hint="eastAsia"/>
                      <w:kern w:val="0"/>
                      <w:sz w:val="21"/>
                      <w:szCs w:val="21"/>
                      <w:lang w:val="en-US" w:eastAsia="zh-CN"/>
                    </w:rPr>
                    <w:t>袋</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C7B6">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袋装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372C">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89D7">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除油剂生产</w:t>
                  </w:r>
                </w:p>
              </w:tc>
            </w:tr>
            <w:tr w14:paraId="723A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8861">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五水偏硅酸钠（粉体）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DA40">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190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8ACD">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BF6C">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25kg/</w:t>
                  </w:r>
                  <w:r>
                    <w:rPr>
                      <w:rFonts w:hint="eastAsia"/>
                      <w:kern w:val="0"/>
                      <w:sz w:val="21"/>
                      <w:szCs w:val="21"/>
                      <w:lang w:val="en-US" w:eastAsia="zh-CN"/>
                    </w:rPr>
                    <w:t>袋</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EA64">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袋装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0A29">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BBF6">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精炼酶生产</w:t>
                  </w:r>
                </w:p>
              </w:tc>
            </w:tr>
            <w:tr w14:paraId="61B6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B901">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元明粉（粉体）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9905">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65</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353F">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7F88">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25kg/</w:t>
                  </w:r>
                  <w:r>
                    <w:rPr>
                      <w:rFonts w:hint="eastAsia"/>
                      <w:kern w:val="0"/>
                      <w:sz w:val="21"/>
                      <w:szCs w:val="21"/>
                      <w:lang w:val="en-US" w:eastAsia="zh-CN"/>
                    </w:rPr>
                    <w:t>袋</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79F">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袋装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2E7C">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外购</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BCA4">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精炼酶生产</w:t>
                  </w:r>
                </w:p>
              </w:tc>
            </w:tr>
            <w:tr w14:paraId="17FF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7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4652">
                  <w:pPr>
                    <w:widowControl/>
                    <w:snapToGrid w:val="0"/>
                    <w:spacing w:line="240" w:lineRule="auto"/>
                    <w:ind w:firstLine="0" w:firstLineChars="0"/>
                    <w:jc w:val="both"/>
                    <w:rPr>
                      <w:rFonts w:hint="default"/>
                      <w:kern w:val="0"/>
                      <w:sz w:val="21"/>
                      <w:szCs w:val="21"/>
                      <w:lang w:val="en-US" w:eastAsia="zh-CN"/>
                    </w:rPr>
                  </w:pPr>
                  <w:r>
                    <w:rPr>
                      <w:rFonts w:hint="eastAsia"/>
                      <w:kern w:val="0"/>
                      <w:sz w:val="21"/>
                      <w:szCs w:val="21"/>
                      <w:lang w:val="en-US" w:eastAsia="zh-CN"/>
                    </w:rPr>
                    <w:t>备注：参考《石油化工储运系统罐区设计规范》（SH3007-1999），浮顶罐的最大填充系数取0.9 ，工业白油的的比重（水）为0.83，则厂内工业白油最大储存量=（95*6+65*2）*0.83*0.9=523t</w:t>
                  </w:r>
                </w:p>
              </w:tc>
            </w:tr>
          </w:tbl>
          <w:p w14:paraId="24AEAD38">
            <w:pPr>
              <w:adjustRightInd w:val="0"/>
              <w:snapToGrid w:val="0"/>
              <w:spacing w:line="300" w:lineRule="auto"/>
              <w:ind w:firstLine="480"/>
              <w:rPr>
                <w:szCs w:val="22"/>
              </w:rPr>
            </w:pPr>
            <w:r>
              <w:rPr>
                <w:szCs w:val="22"/>
              </w:rPr>
              <w:t>主要化学试剂及消毒剂理化性质见下表。</w:t>
            </w:r>
          </w:p>
          <w:p w14:paraId="056F98A5">
            <w:pPr>
              <w:spacing w:line="240" w:lineRule="auto"/>
              <w:ind w:firstLine="0" w:firstLineChars="0"/>
              <w:jc w:val="center"/>
              <w:rPr>
                <w:b/>
                <w:bCs/>
                <w:szCs w:val="21"/>
              </w:rPr>
            </w:pPr>
            <w:r>
              <w:rPr>
                <w:b/>
                <w:bCs/>
                <w:szCs w:val="21"/>
              </w:rPr>
              <w:t>表2-</w:t>
            </w:r>
            <w:r>
              <w:rPr>
                <w:rFonts w:hint="eastAsia"/>
                <w:b/>
                <w:bCs/>
                <w:szCs w:val="21"/>
                <w:lang w:val="en-US" w:eastAsia="zh-CN"/>
              </w:rPr>
              <w:t>5</w:t>
            </w:r>
            <w:r>
              <w:rPr>
                <w:b/>
                <w:bCs/>
                <w:szCs w:val="21"/>
              </w:rPr>
              <w:t>化学试剂及消毒剂理化性质一览表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167"/>
              <w:gridCol w:w="6708"/>
            </w:tblGrid>
            <w:tr w14:paraId="6392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8" w:type="pct"/>
                  <w:vAlign w:val="center"/>
                </w:tcPr>
                <w:p w14:paraId="16D97B26">
                  <w:pPr>
                    <w:pStyle w:val="90"/>
                    <w:adjustRightInd w:val="0"/>
                    <w:snapToGrid w:val="0"/>
                    <w:rPr>
                      <w:bCs/>
                      <w:color w:val="000000"/>
                    </w:rPr>
                  </w:pPr>
                  <w:r>
                    <w:rPr>
                      <w:bCs/>
                      <w:color w:val="000000"/>
                    </w:rPr>
                    <w:t>序号</w:t>
                  </w:r>
                </w:p>
              </w:tc>
              <w:tc>
                <w:tcPr>
                  <w:tcW w:w="699" w:type="pct"/>
                  <w:vAlign w:val="center"/>
                </w:tcPr>
                <w:p w14:paraId="75837F8E">
                  <w:pPr>
                    <w:pStyle w:val="90"/>
                    <w:adjustRightInd w:val="0"/>
                    <w:snapToGrid w:val="0"/>
                    <w:rPr>
                      <w:bCs/>
                      <w:color w:val="000000"/>
                    </w:rPr>
                  </w:pPr>
                  <w:r>
                    <w:rPr>
                      <w:bCs/>
                      <w:color w:val="000000"/>
                    </w:rPr>
                    <w:t>名称</w:t>
                  </w:r>
                </w:p>
              </w:tc>
              <w:tc>
                <w:tcPr>
                  <w:tcW w:w="4021" w:type="pct"/>
                  <w:vAlign w:val="center"/>
                </w:tcPr>
                <w:p w14:paraId="566564E2">
                  <w:pPr>
                    <w:pStyle w:val="90"/>
                    <w:adjustRightInd w:val="0"/>
                    <w:snapToGrid w:val="0"/>
                    <w:rPr>
                      <w:bCs/>
                      <w:color w:val="000000"/>
                    </w:rPr>
                  </w:pPr>
                  <w:r>
                    <w:rPr>
                      <w:bCs/>
                      <w:color w:val="000000"/>
                    </w:rPr>
                    <w:t>理化性质</w:t>
                  </w:r>
                </w:p>
              </w:tc>
            </w:tr>
            <w:tr w14:paraId="65BA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0CFB0947">
                  <w:pPr>
                    <w:pStyle w:val="90"/>
                    <w:adjustRightInd w:val="0"/>
                    <w:snapToGrid w:val="0"/>
                    <w:jc w:val="both"/>
                    <w:rPr>
                      <w:color w:val="000000"/>
                    </w:rPr>
                  </w:pPr>
                  <w:r>
                    <w:rPr>
                      <w:color w:val="000000"/>
                    </w:rPr>
                    <w:t>1</w:t>
                  </w:r>
                </w:p>
              </w:tc>
              <w:tc>
                <w:tcPr>
                  <w:tcW w:w="699" w:type="pct"/>
                  <w:vAlign w:val="center"/>
                </w:tcPr>
                <w:p w14:paraId="3EED8AE9">
                  <w:pPr>
                    <w:pStyle w:val="90"/>
                    <w:adjustRightInd w:val="0"/>
                    <w:snapToGrid w:val="0"/>
                    <w:jc w:val="center"/>
                    <w:rPr>
                      <w:color w:val="000000"/>
                    </w:rPr>
                  </w:pPr>
                  <w:r>
                    <w:rPr>
                      <w:rFonts w:hint="eastAsia"/>
                      <w:kern w:val="0"/>
                      <w:sz w:val="21"/>
                      <w:szCs w:val="21"/>
                      <w:lang w:val="en-US" w:eastAsia="zh-CN"/>
                    </w:rPr>
                    <w:t>工业白油</w:t>
                  </w:r>
                </w:p>
              </w:tc>
              <w:tc>
                <w:tcPr>
                  <w:tcW w:w="4021" w:type="pct"/>
                  <w:vAlign w:val="center"/>
                </w:tcPr>
                <w:p w14:paraId="3770FC09">
                  <w:pPr>
                    <w:pStyle w:val="90"/>
                    <w:adjustRightInd w:val="0"/>
                    <w:snapToGrid w:val="0"/>
                    <w:jc w:val="both"/>
                    <w:rPr>
                      <w:rFonts w:hint="eastAsia" w:eastAsia="宋体"/>
                      <w:color w:val="000000"/>
                      <w:lang w:eastAsia="zh-CN"/>
                    </w:rPr>
                  </w:pPr>
                  <w:r>
                    <w:rPr>
                      <w:rFonts w:hint="eastAsia"/>
                      <w:color w:val="000000"/>
                    </w:rPr>
                    <w:t>无色、无味，无毒。</w:t>
                  </w:r>
                  <w:r>
                    <w:rPr>
                      <w:rFonts w:hint="eastAsia"/>
                      <w:bCs/>
                      <w:color w:val="000000"/>
                      <w:sz w:val="21"/>
                      <w:szCs w:val="21"/>
                    </w:rPr>
                    <w:t>是高度精炼产品，主要用途：用于化纤、合纤，纺织机械橡胶增塑，精密仪器，合成树脂等</w:t>
                  </w:r>
                  <w:r>
                    <w:rPr>
                      <w:color w:val="000000"/>
                    </w:rPr>
                    <w:t>。</w:t>
                  </w:r>
                  <w:r>
                    <w:rPr>
                      <w:rFonts w:hint="eastAsia"/>
                      <w:color w:val="000000"/>
                      <w:lang w:val="en-US" w:eastAsia="zh-CN"/>
                    </w:rPr>
                    <w:t>主要成分为</w:t>
                  </w:r>
                  <w:r>
                    <w:rPr>
                      <w:rFonts w:hint="eastAsia"/>
                      <w:color w:val="000000"/>
                    </w:rPr>
                    <w:t>正异构烷烃，具体为C16至C31的正异构烷烃的混合物</w:t>
                  </w:r>
                  <w:r>
                    <w:rPr>
                      <w:rFonts w:hint="eastAsia"/>
                      <w:color w:val="000000"/>
                      <w:lang w:eastAsia="zh-CN"/>
                    </w:rPr>
                    <w:t>，</w:t>
                  </w:r>
                  <w:r>
                    <w:rPr>
                      <w:rFonts w:hint="eastAsia"/>
                      <w:color w:val="000000"/>
                    </w:rPr>
                    <w:t>‌‌比重</w:t>
                  </w:r>
                  <w:r>
                    <w:rPr>
                      <w:rFonts w:hint="eastAsia"/>
                      <w:color w:val="000000"/>
                      <w:lang w:eastAsia="zh-CN"/>
                    </w:rPr>
                    <w:t>（</w:t>
                  </w:r>
                  <w:r>
                    <w:rPr>
                      <w:rFonts w:hint="eastAsia"/>
                      <w:color w:val="000000"/>
                      <w:lang w:val="en-US" w:eastAsia="zh-CN"/>
                    </w:rPr>
                    <w:t>水</w:t>
                  </w:r>
                  <w:r>
                    <w:rPr>
                      <w:rFonts w:hint="eastAsia"/>
                      <w:color w:val="000000"/>
                      <w:lang w:eastAsia="zh-CN"/>
                    </w:rPr>
                    <w:t>）</w:t>
                  </w:r>
                  <w:r>
                    <w:rPr>
                      <w:rFonts w:hint="eastAsia"/>
                      <w:color w:val="000000"/>
                      <w:lang w:val="en-US" w:eastAsia="zh-CN"/>
                    </w:rPr>
                    <w:t>约0.83，</w:t>
                  </w:r>
                  <w:r>
                    <w:rPr>
                      <w:rFonts w:hint="eastAsia"/>
                      <w:color w:val="000000"/>
                    </w:rPr>
                    <w:t>闪点 130（℃）</w:t>
                  </w:r>
                  <w:r>
                    <w:rPr>
                      <w:rFonts w:hint="eastAsia"/>
                      <w:color w:val="000000"/>
                      <w:lang w:eastAsia="zh-CN"/>
                    </w:rPr>
                    <w:t>，</w:t>
                  </w:r>
                  <w:r>
                    <w:rPr>
                      <w:rFonts w:hint="eastAsia"/>
                      <w:color w:val="000000"/>
                    </w:rPr>
                    <w:t>40℃运动粘度 4-5（cSt） 倾点-5（℃）</w:t>
                  </w:r>
                  <w:r>
                    <w:rPr>
                      <w:rFonts w:hint="eastAsia"/>
                      <w:color w:val="000000"/>
                      <w:lang w:eastAsia="zh-CN"/>
                    </w:rPr>
                    <w:t>。</w:t>
                  </w:r>
                </w:p>
              </w:tc>
            </w:tr>
            <w:tr w14:paraId="7C02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6C3017AB">
                  <w:pPr>
                    <w:pStyle w:val="90"/>
                    <w:adjustRightInd w:val="0"/>
                    <w:snapToGrid w:val="0"/>
                    <w:jc w:val="both"/>
                    <w:rPr>
                      <w:rFonts w:hint="eastAsia" w:eastAsia="宋体"/>
                      <w:color w:val="000000"/>
                      <w:lang w:val="en-US" w:eastAsia="zh-CN"/>
                    </w:rPr>
                  </w:pPr>
                  <w:r>
                    <w:rPr>
                      <w:rFonts w:hint="eastAsia"/>
                      <w:color w:val="000000"/>
                      <w:lang w:val="en-US" w:eastAsia="zh-CN"/>
                    </w:rPr>
                    <w:t>2</w:t>
                  </w:r>
                </w:p>
              </w:tc>
              <w:tc>
                <w:tcPr>
                  <w:tcW w:w="699" w:type="pct"/>
                  <w:vAlign w:val="center"/>
                </w:tcPr>
                <w:p w14:paraId="5B9E553D">
                  <w:pPr>
                    <w:pStyle w:val="90"/>
                    <w:adjustRightInd w:val="0"/>
                    <w:snapToGrid w:val="0"/>
                    <w:jc w:val="center"/>
                    <w:rPr>
                      <w:rFonts w:hint="eastAsia"/>
                      <w:kern w:val="0"/>
                      <w:sz w:val="21"/>
                      <w:szCs w:val="21"/>
                      <w:lang w:val="en-US" w:eastAsia="zh-CN"/>
                    </w:rPr>
                  </w:pPr>
                  <w:r>
                    <w:rPr>
                      <w:rFonts w:hint="eastAsia"/>
                      <w:kern w:val="0"/>
                      <w:sz w:val="21"/>
                      <w:szCs w:val="21"/>
                      <w:lang w:val="en-US" w:eastAsia="zh-CN"/>
                    </w:rPr>
                    <w:t>乳化剂</w:t>
                  </w:r>
                </w:p>
              </w:tc>
              <w:tc>
                <w:tcPr>
                  <w:tcW w:w="4021" w:type="pct"/>
                  <w:vAlign w:val="center"/>
                </w:tcPr>
                <w:p w14:paraId="4BEE1B51">
                  <w:pPr>
                    <w:pStyle w:val="90"/>
                    <w:adjustRightInd w:val="0"/>
                    <w:snapToGrid w:val="0"/>
                    <w:jc w:val="both"/>
                    <w:rPr>
                      <w:rFonts w:hint="default" w:eastAsia="宋体"/>
                      <w:color w:val="000000"/>
                      <w:lang w:val="en-US" w:eastAsia="zh-CN"/>
                    </w:rPr>
                  </w:pPr>
                  <w:r>
                    <w:rPr>
                      <w:rFonts w:hint="eastAsia"/>
                      <w:color w:val="000000"/>
                      <w:lang w:val="en-US" w:eastAsia="zh-CN"/>
                    </w:rPr>
                    <w:t>主要成分为乙氧基化醇C12-14，无色或微黄色液体，它具有良好的润湿性、乳化性和分散性，乙氧基化醇C12-14凝固点 30℃ , 闪点＞375℃ ,密度 0.984g/cm</w:t>
                  </w:r>
                  <w:r>
                    <w:rPr>
                      <w:rFonts w:hint="eastAsia"/>
                      <w:color w:val="000000"/>
                      <w:vertAlign w:val="superscript"/>
                      <w:lang w:val="en-US" w:eastAsia="zh-CN"/>
                    </w:rPr>
                    <w:t>3</w:t>
                  </w:r>
                  <w:r>
                    <w:rPr>
                      <w:rFonts w:hint="eastAsia"/>
                      <w:color w:val="000000"/>
                      <w:lang w:val="en-US" w:eastAsia="zh-CN"/>
                    </w:rPr>
                    <w:t>。适合在低常温下使用，且在低温下无析出、耐冻。它易溶于油及一般极性溶剂，分散于水，是良好的亲油性乳化剂。在工业中，它常用作w/o型乳化剂‌。‌</w:t>
                  </w:r>
                </w:p>
              </w:tc>
            </w:tr>
            <w:tr w14:paraId="799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2DB25A81">
                  <w:pPr>
                    <w:pStyle w:val="90"/>
                    <w:adjustRightInd w:val="0"/>
                    <w:snapToGrid w:val="0"/>
                    <w:jc w:val="both"/>
                    <w:rPr>
                      <w:rFonts w:hint="default"/>
                      <w:color w:val="000000"/>
                      <w:lang w:val="en-US" w:eastAsia="zh-CN"/>
                    </w:rPr>
                  </w:pPr>
                  <w:r>
                    <w:rPr>
                      <w:rFonts w:hint="eastAsia"/>
                      <w:color w:val="000000"/>
                      <w:lang w:val="en-US" w:eastAsia="zh-CN"/>
                    </w:rPr>
                    <w:t>3</w:t>
                  </w:r>
                </w:p>
              </w:tc>
              <w:tc>
                <w:tcPr>
                  <w:tcW w:w="699" w:type="pct"/>
                  <w:vAlign w:val="center"/>
                </w:tcPr>
                <w:p w14:paraId="46AE3422">
                  <w:pPr>
                    <w:pStyle w:val="90"/>
                    <w:adjustRightInd w:val="0"/>
                    <w:snapToGrid w:val="0"/>
                    <w:jc w:val="center"/>
                    <w:rPr>
                      <w:rFonts w:hint="eastAsia"/>
                      <w:kern w:val="0"/>
                      <w:sz w:val="21"/>
                      <w:szCs w:val="21"/>
                      <w:lang w:val="en-US" w:eastAsia="zh-CN"/>
                    </w:rPr>
                  </w:pPr>
                  <w:r>
                    <w:rPr>
                      <w:rFonts w:hint="eastAsia"/>
                      <w:kern w:val="0"/>
                      <w:sz w:val="21"/>
                      <w:szCs w:val="21"/>
                      <w:lang w:val="en-US" w:eastAsia="zh-CN"/>
                    </w:rPr>
                    <w:t>脂肪醇聚氧乙烯醚</w:t>
                  </w:r>
                </w:p>
              </w:tc>
              <w:tc>
                <w:tcPr>
                  <w:tcW w:w="4021" w:type="pct"/>
                  <w:vAlign w:val="center"/>
                </w:tcPr>
                <w:p w14:paraId="5DA2BB58">
                  <w:pPr>
                    <w:pStyle w:val="90"/>
                    <w:adjustRightInd w:val="0"/>
                    <w:snapToGrid w:val="0"/>
                    <w:jc w:val="both"/>
                    <w:rPr>
                      <w:rFonts w:hint="eastAsia"/>
                      <w:color w:val="000000"/>
                      <w:lang w:val="en-US" w:eastAsia="zh-CN"/>
                    </w:rPr>
                  </w:pPr>
                  <w:r>
                    <w:rPr>
                      <w:rFonts w:hint="eastAsia"/>
                      <w:color w:val="000000"/>
                      <w:lang w:val="en-US" w:eastAsia="zh-CN"/>
                    </w:rPr>
                    <w:t>通常为无色液体或蜡状物，其物理性质会受到碳链长度和环氧乙烷加成数的影响。随着环氧乙烷加成数的增加，其浊点、相对密度和黏度也会相应上升。沸点范围大约在250-350°C之间。此外，脂肪醇聚氧乙烯醚在空气中会缓慢氧化，产生一些氧化产物如乙醛和氢过氧化物，这些氧化物对皮肤的毒性更大。</w:t>
                  </w:r>
                </w:p>
              </w:tc>
            </w:tr>
            <w:tr w14:paraId="1FCC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06173CA6">
                  <w:pPr>
                    <w:pStyle w:val="90"/>
                    <w:adjustRightInd w:val="0"/>
                    <w:snapToGrid w:val="0"/>
                    <w:jc w:val="both"/>
                    <w:rPr>
                      <w:rFonts w:hint="default"/>
                      <w:color w:val="000000"/>
                      <w:lang w:val="en-US" w:eastAsia="zh-CN"/>
                    </w:rPr>
                  </w:pPr>
                  <w:r>
                    <w:rPr>
                      <w:rFonts w:hint="eastAsia"/>
                      <w:color w:val="000000"/>
                      <w:lang w:val="en-US" w:eastAsia="zh-CN"/>
                    </w:rPr>
                    <w:t>4</w:t>
                  </w:r>
                </w:p>
              </w:tc>
              <w:tc>
                <w:tcPr>
                  <w:tcW w:w="699" w:type="pct"/>
                  <w:vAlign w:val="center"/>
                </w:tcPr>
                <w:p w14:paraId="665F0A59">
                  <w:pPr>
                    <w:pStyle w:val="90"/>
                    <w:adjustRightInd w:val="0"/>
                    <w:snapToGrid w:val="0"/>
                    <w:jc w:val="center"/>
                    <w:rPr>
                      <w:rFonts w:hint="eastAsia"/>
                      <w:kern w:val="0"/>
                      <w:sz w:val="21"/>
                      <w:szCs w:val="21"/>
                      <w:lang w:val="en-US" w:eastAsia="zh-CN"/>
                    </w:rPr>
                  </w:pPr>
                  <w:r>
                    <w:rPr>
                      <w:rFonts w:hint="eastAsia"/>
                      <w:kern w:val="0"/>
                      <w:sz w:val="21"/>
                      <w:szCs w:val="21"/>
                      <w:lang w:val="en-US" w:eastAsia="zh-CN"/>
                    </w:rPr>
                    <w:t>二甲基硅油</w:t>
                  </w:r>
                </w:p>
              </w:tc>
              <w:tc>
                <w:tcPr>
                  <w:tcW w:w="4021" w:type="pct"/>
                  <w:vAlign w:val="center"/>
                </w:tcPr>
                <w:p w14:paraId="13E1B7BD">
                  <w:pPr>
                    <w:pStyle w:val="90"/>
                    <w:adjustRightInd w:val="0"/>
                    <w:snapToGrid w:val="0"/>
                    <w:jc w:val="both"/>
                    <w:rPr>
                      <w:rFonts w:hint="default"/>
                      <w:color w:val="000000"/>
                      <w:lang w:val="en-US" w:eastAsia="zh-CN"/>
                    </w:rPr>
                  </w:pPr>
                  <w:r>
                    <w:rPr>
                      <w:rFonts w:hint="eastAsia"/>
                      <w:color w:val="000000"/>
                      <w:lang w:val="en-US" w:eastAsia="zh-CN"/>
                    </w:rPr>
                    <w:t>密度 1 g/mL，熔点-35℃，粘度范围:100-100000MPas</w:t>
                  </w:r>
                </w:p>
              </w:tc>
            </w:tr>
            <w:tr w14:paraId="0473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7A3A5B37">
                  <w:pPr>
                    <w:pStyle w:val="90"/>
                    <w:adjustRightInd w:val="0"/>
                    <w:snapToGrid w:val="0"/>
                    <w:jc w:val="both"/>
                    <w:rPr>
                      <w:rFonts w:hint="default"/>
                      <w:color w:val="000000"/>
                      <w:lang w:val="en-US" w:eastAsia="zh-CN"/>
                    </w:rPr>
                  </w:pPr>
                  <w:r>
                    <w:rPr>
                      <w:rFonts w:hint="eastAsia"/>
                      <w:color w:val="000000"/>
                      <w:lang w:val="en-US" w:eastAsia="zh-CN"/>
                    </w:rPr>
                    <w:t>5</w:t>
                  </w:r>
                </w:p>
              </w:tc>
              <w:tc>
                <w:tcPr>
                  <w:tcW w:w="699" w:type="pct"/>
                  <w:shd w:val="clear" w:color="auto" w:fill="auto"/>
                  <w:vAlign w:val="center"/>
                </w:tcPr>
                <w:p w14:paraId="56DCD814">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氨基硅油</w:t>
                  </w:r>
                </w:p>
              </w:tc>
              <w:tc>
                <w:tcPr>
                  <w:tcW w:w="4021" w:type="pct"/>
                  <w:vAlign w:val="center"/>
                </w:tcPr>
                <w:p w14:paraId="49164BFA">
                  <w:pPr>
                    <w:pStyle w:val="90"/>
                    <w:adjustRightInd w:val="0"/>
                    <w:snapToGrid w:val="0"/>
                    <w:jc w:val="both"/>
                    <w:rPr>
                      <w:rFonts w:hint="eastAsia"/>
                      <w:color w:val="000000"/>
                      <w:lang w:val="en-US" w:eastAsia="zh-CN"/>
                    </w:rPr>
                  </w:pPr>
                  <w:r>
                    <w:rPr>
                      <w:rFonts w:hint="eastAsia"/>
                      <w:color w:val="000000"/>
                      <w:lang w:val="en-US" w:eastAsia="zh-CN"/>
                    </w:rPr>
                    <w:t>pH 值 7-8，粘度范围:100-100000MPas</w:t>
                  </w:r>
                </w:p>
              </w:tc>
            </w:tr>
            <w:tr w14:paraId="383A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36F2E5BD">
                  <w:pPr>
                    <w:pStyle w:val="90"/>
                    <w:adjustRightInd w:val="0"/>
                    <w:snapToGrid w:val="0"/>
                    <w:jc w:val="both"/>
                    <w:rPr>
                      <w:rFonts w:hint="default"/>
                      <w:color w:val="000000"/>
                      <w:lang w:val="en-US" w:eastAsia="zh-CN"/>
                    </w:rPr>
                  </w:pPr>
                  <w:r>
                    <w:rPr>
                      <w:rFonts w:hint="eastAsia"/>
                      <w:color w:val="000000"/>
                      <w:lang w:val="en-US" w:eastAsia="zh-CN"/>
                    </w:rPr>
                    <w:t>6</w:t>
                  </w:r>
                </w:p>
              </w:tc>
              <w:tc>
                <w:tcPr>
                  <w:tcW w:w="699" w:type="pct"/>
                  <w:shd w:val="clear" w:color="auto" w:fill="auto"/>
                  <w:vAlign w:val="center"/>
                </w:tcPr>
                <w:p w14:paraId="221CDF06">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环氧硅油</w:t>
                  </w:r>
                </w:p>
              </w:tc>
              <w:tc>
                <w:tcPr>
                  <w:tcW w:w="4021" w:type="pct"/>
                  <w:vAlign w:val="center"/>
                </w:tcPr>
                <w:p w14:paraId="5C403E8F">
                  <w:pPr>
                    <w:pStyle w:val="90"/>
                    <w:adjustRightInd w:val="0"/>
                    <w:snapToGrid w:val="0"/>
                    <w:jc w:val="both"/>
                    <w:rPr>
                      <w:rFonts w:hint="eastAsia"/>
                      <w:color w:val="000000"/>
                      <w:lang w:val="en-US" w:eastAsia="zh-CN"/>
                    </w:rPr>
                  </w:pPr>
                  <w:r>
                    <w:rPr>
                      <w:rFonts w:hint="eastAsia"/>
                      <w:color w:val="000000"/>
                      <w:lang w:val="en-US" w:eastAsia="zh-CN"/>
                    </w:rPr>
                    <w:t>无色或淡黄色透液体，环氧值：＞0.03，粘度（25℃，mPa.s）： 50～5000</w:t>
                  </w:r>
                </w:p>
              </w:tc>
            </w:tr>
            <w:tr w14:paraId="1A65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52F73E8B">
                  <w:pPr>
                    <w:pStyle w:val="90"/>
                    <w:adjustRightInd w:val="0"/>
                    <w:snapToGrid w:val="0"/>
                    <w:jc w:val="both"/>
                    <w:rPr>
                      <w:rFonts w:hint="default"/>
                      <w:color w:val="000000"/>
                      <w:lang w:val="en-US" w:eastAsia="zh-CN"/>
                    </w:rPr>
                  </w:pPr>
                  <w:r>
                    <w:rPr>
                      <w:rFonts w:hint="eastAsia"/>
                      <w:color w:val="000000"/>
                      <w:lang w:val="en-US" w:eastAsia="zh-CN"/>
                    </w:rPr>
                    <w:t>7</w:t>
                  </w:r>
                </w:p>
              </w:tc>
              <w:tc>
                <w:tcPr>
                  <w:tcW w:w="699" w:type="pct"/>
                  <w:shd w:val="clear" w:color="auto" w:fill="auto"/>
                  <w:vAlign w:val="center"/>
                </w:tcPr>
                <w:p w14:paraId="2D0B322D">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乙二醇单丁醚</w:t>
                  </w:r>
                </w:p>
              </w:tc>
              <w:tc>
                <w:tcPr>
                  <w:tcW w:w="4021" w:type="pct"/>
                  <w:vAlign w:val="center"/>
                </w:tcPr>
                <w:p w14:paraId="01211524">
                  <w:pPr>
                    <w:pStyle w:val="90"/>
                    <w:adjustRightInd w:val="0"/>
                    <w:snapToGrid w:val="0"/>
                    <w:jc w:val="both"/>
                    <w:rPr>
                      <w:rFonts w:hint="eastAsia"/>
                      <w:color w:val="000000"/>
                      <w:lang w:val="en-US" w:eastAsia="zh-CN"/>
                    </w:rPr>
                  </w:pPr>
                  <w:r>
                    <w:rPr>
                      <w:rFonts w:hint="eastAsia"/>
                      <w:color w:val="000000"/>
                      <w:lang w:val="en-US" w:eastAsia="zh-CN"/>
                    </w:rPr>
                    <w:t>为无色透明液体，化学式C6H14O2，密度：0.902g/cm3，熔点：-70℃，沸点：171℃，闪点：60℃（OC），折射率：1.419（20℃），临界压力：3.27MPa [2]，临界温度：370℃ [2]，蒸汽压：1.368mmHg at 25°C，溶于水、丙酮、苯、乙醚、甲醇、四氯化碳等有机溶剂和矿物油</w:t>
                  </w:r>
                </w:p>
              </w:tc>
            </w:tr>
            <w:tr w14:paraId="1132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0F58D211">
                  <w:pPr>
                    <w:pStyle w:val="90"/>
                    <w:adjustRightInd w:val="0"/>
                    <w:snapToGrid w:val="0"/>
                    <w:jc w:val="both"/>
                    <w:rPr>
                      <w:rFonts w:hint="default"/>
                      <w:color w:val="000000"/>
                      <w:lang w:val="en-US" w:eastAsia="zh-CN"/>
                    </w:rPr>
                  </w:pPr>
                  <w:r>
                    <w:rPr>
                      <w:rFonts w:hint="eastAsia"/>
                      <w:color w:val="000000"/>
                      <w:lang w:val="en-US" w:eastAsia="zh-CN"/>
                    </w:rPr>
                    <w:t>8</w:t>
                  </w:r>
                </w:p>
              </w:tc>
              <w:tc>
                <w:tcPr>
                  <w:tcW w:w="699" w:type="pct"/>
                  <w:shd w:val="clear" w:color="auto" w:fill="auto"/>
                  <w:vAlign w:val="center"/>
                </w:tcPr>
                <w:p w14:paraId="74EDAC04">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氯化钠</w:t>
                  </w:r>
                </w:p>
              </w:tc>
              <w:tc>
                <w:tcPr>
                  <w:tcW w:w="4021" w:type="pct"/>
                  <w:vAlign w:val="center"/>
                </w:tcPr>
                <w:p w14:paraId="474F60F4">
                  <w:pPr>
                    <w:pStyle w:val="90"/>
                    <w:adjustRightInd w:val="0"/>
                    <w:snapToGrid w:val="0"/>
                    <w:jc w:val="both"/>
                    <w:rPr>
                      <w:rFonts w:hint="eastAsia"/>
                      <w:color w:val="000000"/>
                      <w:lang w:val="en-US" w:eastAsia="zh-CN"/>
                    </w:rPr>
                  </w:pPr>
                  <w:r>
                    <w:rPr>
                      <w:rFonts w:hint="eastAsia"/>
                      <w:color w:val="000000"/>
                      <w:lang w:val="en-US" w:eastAsia="zh-CN"/>
                    </w:rPr>
                    <w:t>无色立方结晶或细小结晶粉末，味咸。外观是白色晶体状，其来源主要是海水，是食盐的主要成分。易溶于水、甘油，微溶于乙醇（酒精）、液氨；不溶于浓盐酸。沸点 100℃、闪点 1413℃、相对密度 2.16 kg/m</w:t>
                  </w:r>
                  <w:r>
                    <w:rPr>
                      <w:rFonts w:hint="eastAsia"/>
                      <w:color w:val="000000"/>
                      <w:vertAlign w:val="superscript"/>
                      <w:lang w:val="en-US" w:eastAsia="zh-CN"/>
                    </w:rPr>
                    <w:t>3</w:t>
                  </w:r>
                  <w:r>
                    <w:rPr>
                      <w:rFonts w:hint="eastAsia"/>
                      <w:color w:val="000000"/>
                      <w:lang w:val="en-US" w:eastAsia="zh-CN"/>
                    </w:rPr>
                    <w:t>、熔点 801℃</w:t>
                  </w:r>
                </w:p>
              </w:tc>
            </w:tr>
            <w:tr w14:paraId="0FB4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6AD3793C">
                  <w:pPr>
                    <w:pStyle w:val="90"/>
                    <w:adjustRightInd w:val="0"/>
                    <w:snapToGrid w:val="0"/>
                    <w:jc w:val="both"/>
                    <w:rPr>
                      <w:rFonts w:hint="default"/>
                      <w:color w:val="000000"/>
                      <w:lang w:val="en-US" w:eastAsia="zh-CN"/>
                    </w:rPr>
                  </w:pPr>
                  <w:r>
                    <w:rPr>
                      <w:rFonts w:hint="eastAsia"/>
                      <w:color w:val="000000"/>
                      <w:lang w:val="en-US" w:eastAsia="zh-CN"/>
                    </w:rPr>
                    <w:t>9</w:t>
                  </w:r>
                </w:p>
              </w:tc>
              <w:tc>
                <w:tcPr>
                  <w:tcW w:w="699" w:type="pct"/>
                  <w:shd w:val="clear" w:color="auto" w:fill="auto"/>
                  <w:vAlign w:val="center"/>
                </w:tcPr>
                <w:p w14:paraId="4F80AB3A">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五水偏硅酸钠</w:t>
                  </w:r>
                </w:p>
              </w:tc>
              <w:tc>
                <w:tcPr>
                  <w:tcW w:w="4021" w:type="pct"/>
                  <w:vAlign w:val="center"/>
                </w:tcPr>
                <w:p w14:paraId="5EA7699E">
                  <w:pPr>
                    <w:pStyle w:val="90"/>
                    <w:adjustRightInd w:val="0"/>
                    <w:snapToGrid w:val="0"/>
                    <w:jc w:val="both"/>
                    <w:rPr>
                      <w:rFonts w:hint="eastAsia"/>
                      <w:color w:val="000000"/>
                      <w:lang w:val="en-US" w:eastAsia="zh-CN"/>
                    </w:rPr>
                  </w:pPr>
                  <w:r>
                    <w:rPr>
                      <w:rFonts w:hint="eastAsia"/>
                      <w:color w:val="000000"/>
                      <w:lang w:val="en-US" w:eastAsia="zh-CN"/>
                    </w:rPr>
                    <w:t>略带绿色或白色粉末，透明块状或粘稠液体。相对密度2.61 g/mL、熔点 1088℃</w:t>
                  </w:r>
                </w:p>
              </w:tc>
            </w:tr>
            <w:tr w14:paraId="5488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1007776C">
                  <w:pPr>
                    <w:pStyle w:val="90"/>
                    <w:adjustRightInd w:val="0"/>
                    <w:snapToGrid w:val="0"/>
                    <w:jc w:val="both"/>
                    <w:rPr>
                      <w:rFonts w:hint="default"/>
                      <w:color w:val="000000"/>
                      <w:lang w:val="en-US" w:eastAsia="zh-CN"/>
                    </w:rPr>
                  </w:pPr>
                  <w:r>
                    <w:rPr>
                      <w:rFonts w:hint="eastAsia"/>
                      <w:color w:val="000000"/>
                      <w:lang w:val="en-US" w:eastAsia="zh-CN"/>
                    </w:rPr>
                    <w:t>10</w:t>
                  </w:r>
                </w:p>
              </w:tc>
              <w:tc>
                <w:tcPr>
                  <w:tcW w:w="699" w:type="pct"/>
                  <w:shd w:val="clear" w:color="auto" w:fill="auto"/>
                  <w:vAlign w:val="center"/>
                </w:tcPr>
                <w:p w14:paraId="5DF20D04">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元明粉</w:t>
                  </w:r>
                </w:p>
              </w:tc>
              <w:tc>
                <w:tcPr>
                  <w:tcW w:w="4021" w:type="pct"/>
                  <w:vAlign w:val="center"/>
                </w:tcPr>
                <w:p w14:paraId="15B1F770">
                  <w:pPr>
                    <w:pStyle w:val="90"/>
                    <w:adjustRightInd w:val="0"/>
                    <w:snapToGrid w:val="0"/>
                    <w:jc w:val="both"/>
                    <w:rPr>
                      <w:rFonts w:hint="eastAsia"/>
                      <w:color w:val="000000"/>
                      <w:lang w:val="en-US" w:eastAsia="zh-CN"/>
                    </w:rPr>
                  </w:pPr>
                  <w:r>
                    <w:rPr>
                      <w:rFonts w:hint="eastAsia"/>
                      <w:color w:val="000000"/>
                      <w:lang w:val="en-US" w:eastAsia="zh-CN"/>
                    </w:rPr>
                    <w:t>主要成分为硫酸钠，溶于水，其溶液大多为中性，溶于甘油而不溶于乙醇。无机化合物，高纯度、颗粒细的无水物称为元明粉元明粉，白色、无臭、有苦味的结晶或粉末，有吸湿性。外形为无色、透明、大的结晶或颗粒性小结晶。硫酸钠暴露于空气中易吸水，生成十水合硫酸钠，又名芒硝，偏碱性。pH 值 5.2-8.0、熔点 884℃、沸点 108.9℃、密度 2</w:t>
                  </w:r>
                </w:p>
              </w:tc>
            </w:tr>
          </w:tbl>
          <w:p w14:paraId="1BBE5C99">
            <w:pPr>
              <w:adjustRightInd w:val="0"/>
              <w:snapToGrid w:val="0"/>
              <w:spacing w:line="300" w:lineRule="auto"/>
              <w:ind w:firstLine="480"/>
              <w:rPr>
                <w:rFonts w:hint="default" w:eastAsia="宋体"/>
                <w:b/>
                <w:bCs/>
                <w:szCs w:val="22"/>
                <w:lang w:val="en-US" w:eastAsia="zh-CN"/>
              </w:rPr>
            </w:pPr>
            <w:r>
              <w:rPr>
                <w:rFonts w:hint="eastAsia"/>
                <w:b/>
                <w:bCs/>
                <w:szCs w:val="22"/>
                <w:lang w:val="en-US" w:eastAsia="zh-CN"/>
              </w:rPr>
              <w:t>物料平衡核算</w:t>
            </w:r>
          </w:p>
          <w:p w14:paraId="5AED4A84">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eastAsia="宋体"/>
                <w:b w:val="0"/>
                <w:bCs w:val="0"/>
                <w:szCs w:val="22"/>
                <w:lang w:val="en-US" w:eastAsia="zh-CN"/>
              </w:rPr>
            </w:pPr>
            <w:r>
              <w:rPr>
                <w:rFonts w:hint="eastAsia"/>
                <w:b w:val="0"/>
                <w:bCs w:val="0"/>
                <w:szCs w:val="22"/>
                <w:lang w:val="en-US" w:eastAsia="zh-CN"/>
              </w:rPr>
              <w:t>根据原辅料的投入情况及产品产出情况计算其物料平衡，具体情况表2-6,2-7：</w:t>
            </w:r>
          </w:p>
          <w:p w14:paraId="407476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eastAsia="宋体"/>
                <w:b/>
                <w:bCs/>
                <w:szCs w:val="22"/>
                <w:lang w:val="en-US" w:eastAsia="zh-CN"/>
              </w:rPr>
            </w:pPr>
            <w:r>
              <w:rPr>
                <w:rFonts w:hint="eastAsia"/>
                <w:b/>
                <w:bCs/>
                <w:szCs w:val="22"/>
                <w:lang w:val="en-US" w:eastAsia="zh-CN"/>
              </w:rPr>
              <w:t>表2-6 有机助剂物料平衡核算表</w:t>
            </w: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4"/>
              <w:gridCol w:w="1730"/>
              <w:gridCol w:w="433"/>
              <w:gridCol w:w="2067"/>
              <w:gridCol w:w="1985"/>
            </w:tblGrid>
            <w:tr w14:paraId="764F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2B6F">
                  <w:pPr>
                    <w:pStyle w:val="90"/>
                    <w:adjustRightInd w:val="0"/>
                    <w:snapToGrid w:val="0"/>
                    <w:jc w:val="center"/>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投入</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6DDF">
                  <w:pPr>
                    <w:pStyle w:val="90"/>
                    <w:adjustRightInd w:val="0"/>
                    <w:snapToGrid w:val="0"/>
                    <w:jc w:val="both"/>
                    <w:rPr>
                      <w:rFonts w:hint="eastAsia" w:ascii="Times New Roman" w:hAnsi="Times New Roman" w:eastAsia="宋体" w:cs="Times New Roman"/>
                      <w:color w:val="000000"/>
                      <w:lang w:val="en-US" w:eastAsia="zh-CN"/>
                    </w:rPr>
                  </w:pP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F476">
                  <w:pPr>
                    <w:pStyle w:val="90"/>
                    <w:adjustRightInd w:val="0"/>
                    <w:snapToGrid w:val="0"/>
                    <w:jc w:val="center"/>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产出</w:t>
                  </w:r>
                </w:p>
              </w:tc>
            </w:tr>
            <w:tr w14:paraId="0F47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6E20">
                  <w:pPr>
                    <w:pStyle w:val="90"/>
                    <w:adjustRightInd w:val="0"/>
                    <w:snapToGrid w:val="0"/>
                    <w:jc w:val="center"/>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原辅料名称</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6BD0">
                  <w:pPr>
                    <w:pStyle w:val="90"/>
                    <w:adjustRightInd w:val="0"/>
                    <w:snapToGrid w:val="0"/>
                    <w:jc w:val="center"/>
                    <w:rPr>
                      <w:rFonts w:hint="default"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投入量t/a</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59E6">
                  <w:pPr>
                    <w:pStyle w:val="90"/>
                    <w:adjustRightInd w:val="0"/>
                    <w:snapToGrid w:val="0"/>
                    <w:jc w:val="both"/>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A934">
                  <w:pPr>
                    <w:pStyle w:val="90"/>
                    <w:adjustRightInd w:val="0"/>
                    <w:snapToGrid w:val="0"/>
                    <w:jc w:val="center"/>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产品名称</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CA90">
                  <w:pPr>
                    <w:pStyle w:val="90"/>
                    <w:adjustRightInd w:val="0"/>
                    <w:snapToGrid w:val="0"/>
                    <w:jc w:val="center"/>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产出量t/a</w:t>
                  </w:r>
                </w:p>
              </w:tc>
            </w:tr>
            <w:tr w14:paraId="5B3E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09E5">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工业白油</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63EC">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4000</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3ECE">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27E1">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纺织油剂</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8E16">
                  <w:pPr>
                    <w:pStyle w:val="90"/>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4500</w:t>
                  </w:r>
                </w:p>
              </w:tc>
            </w:tr>
            <w:tr w14:paraId="243C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049A">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乳化剂</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3FDD">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583.51</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927A">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061A">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除油剂</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C6F2">
                  <w:pPr>
                    <w:pStyle w:val="90"/>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400</w:t>
                  </w:r>
                </w:p>
              </w:tc>
            </w:tr>
            <w:tr w14:paraId="4D30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39C7">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脂肪醇聚氧乙烯醚</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37D6">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410.312</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00E0">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68B3">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柔软剂</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2105">
                  <w:pPr>
                    <w:pStyle w:val="90"/>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1500</w:t>
                  </w:r>
                </w:p>
              </w:tc>
            </w:tr>
            <w:tr w14:paraId="23BF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3054">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二甲基硅油</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DC42">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180</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A05D">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2B6D">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有机废气</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9939">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4.992</w:t>
                  </w:r>
                </w:p>
              </w:tc>
            </w:tr>
            <w:tr w14:paraId="6C05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4423">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氨基硅油</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9194">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171.17</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DA63">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A2AA">
                  <w:pPr>
                    <w:pStyle w:val="90"/>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9A4A">
                  <w:pPr>
                    <w:pStyle w:val="90"/>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w:t>
                  </w:r>
                </w:p>
              </w:tc>
            </w:tr>
            <w:tr w14:paraId="61E5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6FBB">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环氧硅油</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211B">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60</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776A">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C025">
                  <w:pPr>
                    <w:pStyle w:val="90"/>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57E4">
                  <w:pPr>
                    <w:pStyle w:val="90"/>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w:t>
                  </w:r>
                </w:p>
              </w:tc>
            </w:tr>
            <w:tr w14:paraId="1D89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7149">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乙二醇单丁醚</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03A5">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10</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99FD">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A18D">
                  <w:pPr>
                    <w:pStyle w:val="90"/>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95FE">
                  <w:pPr>
                    <w:pStyle w:val="90"/>
                    <w:adjustRightInd w:val="0"/>
                    <w:snapToGrid w:val="0"/>
                    <w:jc w:val="center"/>
                    <w:rPr>
                      <w:rFonts w:hint="eastAsia" w:ascii="Times New Roman" w:hAnsi="Times New Roman" w:eastAsia="宋体" w:cs="Times New Roman"/>
                      <w:color w:val="000000"/>
                      <w:lang w:val="en-US" w:eastAsia="zh-CN"/>
                    </w:rPr>
                  </w:pPr>
                </w:p>
              </w:tc>
            </w:tr>
            <w:tr w14:paraId="18BC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CF12">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纯水</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C951">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960</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B7D1">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81C8">
                  <w:pPr>
                    <w:pStyle w:val="90"/>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AF29">
                  <w:pPr>
                    <w:pStyle w:val="90"/>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w:t>
                  </w:r>
                </w:p>
              </w:tc>
            </w:tr>
            <w:tr w14:paraId="78E4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8EAF">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氯化钠</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CAEB">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30</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50C2">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B718">
                  <w:pPr>
                    <w:pStyle w:val="90"/>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C24C">
                  <w:pPr>
                    <w:pStyle w:val="90"/>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w:t>
                  </w:r>
                </w:p>
              </w:tc>
            </w:tr>
            <w:tr w14:paraId="2883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0051">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合计</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37F5">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6404.992</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7E7B">
                  <w:pPr>
                    <w:pStyle w:val="90"/>
                    <w:adjustRightInd w:val="0"/>
                    <w:snapToGrid w:val="0"/>
                    <w:jc w:val="center"/>
                    <w:rPr>
                      <w:rFonts w:hint="eastAsia" w:ascii="Times New Roman" w:hAnsi="Times New Roman" w:eastAsia="宋体" w:cs="Times New Roman"/>
                      <w:color w:val="000000"/>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B79A">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合计</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3C90">
                  <w:pPr>
                    <w:pStyle w:val="90"/>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6404.992</w:t>
                  </w:r>
                </w:p>
              </w:tc>
            </w:tr>
          </w:tbl>
          <w:p w14:paraId="275CC9C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eastAsia="宋体"/>
                <w:b/>
                <w:bCs/>
                <w:szCs w:val="22"/>
                <w:lang w:val="en-US" w:eastAsia="zh-CN"/>
              </w:rPr>
            </w:pPr>
            <w:r>
              <w:rPr>
                <w:rFonts w:hint="eastAsia"/>
                <w:b/>
                <w:bCs/>
                <w:szCs w:val="22"/>
                <w:lang w:val="en-US" w:eastAsia="zh-CN"/>
              </w:rPr>
              <w:t>表2-7 精炼酶平衡核算表</w:t>
            </w:r>
          </w:p>
          <w:tbl>
            <w:tblPr>
              <w:tblStyle w:val="31"/>
              <w:tblW w:w="814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8"/>
              <w:gridCol w:w="1628"/>
              <w:gridCol w:w="1628"/>
              <w:gridCol w:w="1628"/>
              <w:gridCol w:w="1628"/>
            </w:tblGrid>
            <w:tr w14:paraId="0A4C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59B0">
                  <w:pPr>
                    <w:pStyle w:val="90"/>
                    <w:adjustRightInd w:val="0"/>
                    <w:snapToGrid w:val="0"/>
                    <w:jc w:val="center"/>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原辅料名称</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092C">
                  <w:pPr>
                    <w:pStyle w:val="90"/>
                    <w:adjustRightInd w:val="0"/>
                    <w:snapToGrid w:val="0"/>
                    <w:jc w:val="center"/>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投入量t/a</w:t>
                  </w:r>
                </w:p>
              </w:tc>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3908">
                  <w:pPr>
                    <w:pStyle w:val="90"/>
                    <w:adjustRightInd w:val="0"/>
                    <w:snapToGrid w:val="0"/>
                    <w:jc w:val="center"/>
                    <w:rPr>
                      <w:rFonts w:hint="eastAsia" w:ascii="Times New Roman" w:hAnsi="Times New Roman" w:eastAsia="宋体" w:cs="Times New Roman"/>
                      <w:b/>
                      <w:bCs/>
                      <w:color w:val="000000"/>
                      <w:lang w:val="en-US" w:eastAsia="zh-CN"/>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5859">
                  <w:pPr>
                    <w:pStyle w:val="90"/>
                    <w:adjustRightInd w:val="0"/>
                    <w:snapToGrid w:val="0"/>
                    <w:jc w:val="center"/>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产品名称</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85C2">
                  <w:pPr>
                    <w:pStyle w:val="90"/>
                    <w:adjustRightInd w:val="0"/>
                    <w:snapToGrid w:val="0"/>
                    <w:jc w:val="center"/>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产出量t/a</w:t>
                  </w:r>
                </w:p>
              </w:tc>
            </w:tr>
            <w:tr w14:paraId="0EDA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F732">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五水偏硅酸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EC2A">
                  <w:pPr>
                    <w:pStyle w:val="90"/>
                    <w:adjustRightInd w:val="0"/>
                    <w:snapToGrid w:val="0"/>
                    <w:jc w:val="center"/>
                    <w:rPr>
                      <w:rFonts w:hint="default" w:ascii="Times New Roman" w:hAnsi="Times New Roman" w:eastAsia="宋体" w:cs="Times New Roman"/>
                      <w:b w:val="0"/>
                      <w:bCs w:val="0"/>
                      <w:color w:val="000000"/>
                      <w:lang w:val="en-US" w:eastAsia="zh-CN"/>
                    </w:rPr>
                  </w:pPr>
                  <w:r>
                    <w:rPr>
                      <w:rFonts w:hint="default" w:ascii="Times New Roman" w:hAnsi="Times New Roman" w:eastAsia="宋体" w:cs="Times New Roman"/>
                      <w:b w:val="0"/>
                      <w:bCs w:val="0"/>
                      <w:color w:val="000000"/>
                      <w:lang w:val="en-US" w:eastAsia="zh-CN"/>
                    </w:rPr>
                    <w:t>190</w:t>
                  </w: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BBA9">
                  <w:pPr>
                    <w:pStyle w:val="90"/>
                    <w:adjustRightInd w:val="0"/>
                    <w:snapToGrid w:val="0"/>
                    <w:jc w:val="center"/>
                    <w:rPr>
                      <w:rFonts w:hint="eastAsia" w:ascii="Times New Roman" w:hAnsi="Times New Roman" w:eastAsia="宋体" w:cs="Times New Roman"/>
                      <w:b w:val="0"/>
                      <w:bCs w:val="0"/>
                      <w:color w:val="000000"/>
                      <w:lang w:val="en-US" w:eastAsia="zh-CN"/>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713E">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精炼酶</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7E87">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250</w:t>
                  </w:r>
                </w:p>
              </w:tc>
            </w:tr>
            <w:tr w14:paraId="2A05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B990">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元明粉</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0446">
                  <w:pPr>
                    <w:pStyle w:val="90"/>
                    <w:adjustRightInd w:val="0"/>
                    <w:snapToGrid w:val="0"/>
                    <w:jc w:val="center"/>
                    <w:rPr>
                      <w:rFonts w:hint="default" w:ascii="Times New Roman" w:hAnsi="Times New Roman" w:eastAsia="宋体" w:cs="Times New Roman"/>
                      <w:b w:val="0"/>
                      <w:bCs w:val="0"/>
                      <w:color w:val="000000"/>
                      <w:lang w:val="en-US" w:eastAsia="zh-CN"/>
                    </w:rPr>
                  </w:pPr>
                  <w:r>
                    <w:rPr>
                      <w:rFonts w:hint="default" w:ascii="Times New Roman" w:hAnsi="Times New Roman" w:eastAsia="宋体" w:cs="Times New Roman"/>
                      <w:b w:val="0"/>
                      <w:bCs w:val="0"/>
                      <w:color w:val="000000"/>
                      <w:lang w:val="en-US" w:eastAsia="zh-CN"/>
                    </w:rPr>
                    <w:t>60.035</w:t>
                  </w: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C4F4">
                  <w:pPr>
                    <w:pStyle w:val="90"/>
                    <w:adjustRightInd w:val="0"/>
                    <w:snapToGrid w:val="0"/>
                    <w:jc w:val="center"/>
                    <w:rPr>
                      <w:rFonts w:hint="eastAsia" w:ascii="Times New Roman" w:hAnsi="Times New Roman" w:eastAsia="宋体" w:cs="Times New Roman"/>
                      <w:b w:val="0"/>
                      <w:bCs w:val="0"/>
                      <w:color w:val="000000"/>
                      <w:lang w:val="en-US" w:eastAsia="zh-CN"/>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4396">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粉尘</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2035">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0.035</w:t>
                  </w:r>
                </w:p>
              </w:tc>
            </w:tr>
            <w:tr w14:paraId="313E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8AB0">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合计</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5B2D">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250.035</w:t>
                  </w: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8885">
                  <w:pPr>
                    <w:pStyle w:val="90"/>
                    <w:adjustRightInd w:val="0"/>
                    <w:snapToGrid w:val="0"/>
                    <w:jc w:val="center"/>
                    <w:rPr>
                      <w:rFonts w:hint="eastAsia" w:ascii="Times New Roman" w:hAnsi="Times New Roman" w:eastAsia="宋体" w:cs="Times New Roman"/>
                      <w:b w:val="0"/>
                      <w:bCs w:val="0"/>
                      <w:color w:val="000000"/>
                      <w:lang w:val="en-US" w:eastAsia="zh-CN"/>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65CF">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合计</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4B40">
                  <w:pPr>
                    <w:pStyle w:val="90"/>
                    <w:adjustRightInd w:val="0"/>
                    <w:snapToGrid w:val="0"/>
                    <w:jc w:val="center"/>
                    <w:rPr>
                      <w:rFonts w:hint="eastAsia" w:ascii="Times New Roman" w:hAnsi="Times New Roman" w:eastAsia="宋体" w:cs="Times New Roman"/>
                      <w:b w:val="0"/>
                      <w:bCs w:val="0"/>
                      <w:color w:val="000000"/>
                      <w:lang w:val="en-US" w:eastAsia="zh-CN"/>
                    </w:rPr>
                  </w:pPr>
                  <w:r>
                    <w:rPr>
                      <w:rFonts w:hint="eastAsia" w:ascii="Times New Roman" w:hAnsi="Times New Roman" w:eastAsia="宋体" w:cs="Times New Roman"/>
                      <w:b w:val="0"/>
                      <w:bCs w:val="0"/>
                      <w:color w:val="000000"/>
                      <w:lang w:val="en-US" w:eastAsia="zh-CN"/>
                    </w:rPr>
                    <w:t>250.035</w:t>
                  </w:r>
                </w:p>
              </w:tc>
            </w:tr>
          </w:tbl>
          <w:p w14:paraId="5C90C61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b/>
                <w:bCs/>
                <w:szCs w:val="22"/>
              </w:rPr>
            </w:pPr>
            <w:r>
              <w:rPr>
                <w:b/>
                <w:bCs/>
                <w:szCs w:val="22"/>
              </w:rPr>
              <w:t>4、项目主要生产设备</w:t>
            </w:r>
          </w:p>
          <w:p w14:paraId="2E5647D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szCs w:val="22"/>
              </w:rPr>
            </w:pPr>
            <w:r>
              <w:rPr>
                <w:szCs w:val="22"/>
              </w:rPr>
              <w:t>根据建设单位提供的资料，主要工艺设备名称和数量详见表2-</w:t>
            </w:r>
            <w:r>
              <w:rPr>
                <w:rFonts w:hint="eastAsia"/>
                <w:szCs w:val="22"/>
                <w:lang w:val="en-US" w:eastAsia="zh-CN"/>
              </w:rPr>
              <w:t>8</w:t>
            </w:r>
            <w:r>
              <w:rPr>
                <w:szCs w:val="22"/>
              </w:rPr>
              <w:t>。</w:t>
            </w:r>
          </w:p>
          <w:p w14:paraId="18BA0C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b/>
                <w:bCs/>
                <w:szCs w:val="21"/>
              </w:rPr>
            </w:pPr>
            <w:r>
              <w:rPr>
                <w:b/>
                <w:bCs/>
                <w:szCs w:val="21"/>
              </w:rPr>
              <w:t>表2-</w:t>
            </w:r>
            <w:r>
              <w:rPr>
                <w:rFonts w:hint="eastAsia"/>
                <w:b/>
                <w:bCs/>
                <w:szCs w:val="21"/>
                <w:lang w:val="en-US" w:eastAsia="zh-CN"/>
              </w:rPr>
              <w:t>8</w:t>
            </w:r>
            <w:r>
              <w:rPr>
                <w:b/>
                <w:bCs/>
                <w:szCs w:val="21"/>
              </w:rPr>
              <w:t>项目主要设备一览表</w:t>
            </w:r>
          </w:p>
          <w:tbl>
            <w:tblPr>
              <w:tblStyle w:val="31"/>
              <w:tblW w:w="80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4"/>
              <w:gridCol w:w="1436"/>
              <w:gridCol w:w="1145"/>
              <w:gridCol w:w="1387"/>
              <w:gridCol w:w="903"/>
              <w:gridCol w:w="1145"/>
              <w:gridCol w:w="1145"/>
            </w:tblGrid>
            <w:tr w14:paraId="7B10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76B1">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序号</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8677">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名称</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E9DD">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规格型号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E5C2">
                  <w:pPr>
                    <w:widowControl/>
                    <w:snapToGrid w:val="0"/>
                    <w:spacing w:line="240" w:lineRule="auto"/>
                    <w:ind w:firstLine="0" w:firstLineChars="0"/>
                    <w:jc w:val="both"/>
                    <w:rPr>
                      <w:rFonts w:hint="eastAsia"/>
                      <w:kern w:val="0"/>
                      <w:sz w:val="21"/>
                      <w:szCs w:val="21"/>
                      <w:lang w:val="en-US" w:eastAsia="zh-CN"/>
                    </w:rPr>
                  </w:pPr>
                  <w:r>
                    <w:rPr>
                      <w:rFonts w:hint="eastAsia"/>
                      <w:kern w:val="0"/>
                      <w:sz w:val="21"/>
                      <w:szCs w:val="21"/>
                      <w:lang w:val="en-US" w:eastAsia="zh-CN"/>
                    </w:rPr>
                    <w:t>数量（台）</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5A4D">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用途</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0DAD">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使用工序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50EB">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备注</w:t>
                  </w:r>
                </w:p>
              </w:tc>
            </w:tr>
            <w:tr w14:paraId="26E6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2568">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37EE">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搅拌罐</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591F">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1吨</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C998">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3</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3055">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柔软剂的生产</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C53F">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搅拌、混合工序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EB70">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2用1备</w:t>
                  </w:r>
                </w:p>
              </w:tc>
            </w:tr>
            <w:tr w14:paraId="281D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606C">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2</w:t>
                  </w: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3E72">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72C4">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2吨</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E8F3">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AAE4">
                  <w:pPr>
                    <w:widowControl/>
                    <w:snapToGrid w:val="0"/>
                    <w:spacing w:line="240" w:lineRule="auto"/>
                    <w:ind w:firstLine="0" w:firstLineChars="0"/>
                    <w:jc w:val="center"/>
                    <w:rPr>
                      <w:rFonts w:hint="eastAsia"/>
                      <w:kern w:val="0"/>
                      <w:sz w:val="21"/>
                      <w:szCs w:val="21"/>
                      <w:lang w:val="en-US" w:eastAsia="zh-CN"/>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1F9">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DB79">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7BA0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183F">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3</w:t>
                  </w: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9C1E">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BA5A">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3吨</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5545">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2</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B965">
                  <w:pPr>
                    <w:widowControl/>
                    <w:snapToGrid w:val="0"/>
                    <w:spacing w:line="240" w:lineRule="auto"/>
                    <w:ind w:firstLine="0" w:firstLineChars="0"/>
                    <w:jc w:val="center"/>
                    <w:rPr>
                      <w:rFonts w:hint="eastAsia"/>
                      <w:kern w:val="0"/>
                      <w:sz w:val="21"/>
                      <w:szCs w:val="21"/>
                      <w:lang w:val="en-US" w:eastAsia="zh-CN"/>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B525">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36BD">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477E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2AC2">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4</w:t>
                  </w: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EE37">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0624">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5吨</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22B9">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B941">
                  <w:pPr>
                    <w:widowControl/>
                    <w:snapToGrid w:val="0"/>
                    <w:spacing w:line="240" w:lineRule="auto"/>
                    <w:ind w:firstLine="0" w:firstLineChars="0"/>
                    <w:jc w:val="center"/>
                    <w:rPr>
                      <w:rFonts w:hint="eastAsia"/>
                      <w:kern w:val="0"/>
                      <w:sz w:val="21"/>
                      <w:szCs w:val="21"/>
                      <w:lang w:val="en-US" w:eastAsia="zh-CN"/>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C9C2">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C95F">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466F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7C4F">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5</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0F45">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搅拌罐</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9795">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2吨</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4BFA">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CB63">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除油剂</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92AC">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搅拌、混合工序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E716">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5BEE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0180">
                  <w:pPr>
                    <w:widowControl/>
                    <w:snapToGrid w:val="0"/>
                    <w:spacing w:line="240" w:lineRule="auto"/>
                    <w:ind w:firstLine="0" w:firstLineChars="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6</w:t>
                  </w: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7BB2">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4B8E">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1吨</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A747">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532F">
                  <w:pPr>
                    <w:widowControl/>
                    <w:snapToGrid w:val="0"/>
                    <w:spacing w:line="240" w:lineRule="auto"/>
                    <w:ind w:firstLine="0" w:firstLineChars="0"/>
                    <w:jc w:val="center"/>
                    <w:rPr>
                      <w:rFonts w:hint="eastAsia"/>
                      <w:kern w:val="0"/>
                      <w:sz w:val="21"/>
                      <w:szCs w:val="21"/>
                      <w:lang w:val="en-US" w:eastAsia="zh-CN"/>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E10A">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EE64">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2579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35BD">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7</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73B3">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搅拌罐</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DB86">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5</w:t>
                  </w:r>
                  <w:r>
                    <w:rPr>
                      <w:rFonts w:hint="eastAsia"/>
                      <w:kern w:val="0"/>
                      <w:sz w:val="21"/>
                      <w:szCs w:val="21"/>
                      <w:lang w:val="en-US" w:eastAsia="zh-CN"/>
                    </w:rPr>
                    <w:t>吨</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B1B2">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1</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3BF0">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纺织油剂</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260D">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搅拌、混合工序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30E5">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0D4B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7009">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8</w:t>
                  </w: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F99D">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35C7">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10吨</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0315">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4</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6BE9">
                  <w:pPr>
                    <w:widowControl/>
                    <w:snapToGrid w:val="0"/>
                    <w:spacing w:line="240" w:lineRule="auto"/>
                    <w:ind w:firstLine="0" w:firstLineChars="0"/>
                    <w:jc w:val="center"/>
                    <w:rPr>
                      <w:rFonts w:hint="eastAsia"/>
                      <w:kern w:val="0"/>
                      <w:sz w:val="21"/>
                      <w:szCs w:val="21"/>
                      <w:lang w:val="en-US" w:eastAsia="zh-CN"/>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09F4">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F598">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3用1备</w:t>
                  </w:r>
                </w:p>
              </w:tc>
            </w:tr>
            <w:tr w14:paraId="7C92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9E22">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9</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E479">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（工业白油）储油罐</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5567">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95立方</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56FF">
                  <w:pPr>
                    <w:widowControl/>
                    <w:snapToGrid w:val="0"/>
                    <w:spacing w:line="240" w:lineRule="auto"/>
                    <w:ind w:firstLine="0" w:firstLineChars="0"/>
                    <w:jc w:val="center"/>
                    <w:rPr>
                      <w:rFonts w:hint="eastAsia"/>
                      <w:kern w:val="0"/>
                      <w:sz w:val="21"/>
                      <w:szCs w:val="21"/>
                      <w:lang w:val="en-US" w:eastAsia="zh-CN"/>
                    </w:rPr>
                  </w:pPr>
                  <w:r>
                    <w:rPr>
                      <w:rFonts w:hint="default"/>
                      <w:kern w:val="0"/>
                      <w:sz w:val="21"/>
                      <w:szCs w:val="21"/>
                      <w:lang w:val="en-US" w:eastAsia="zh-CN"/>
                    </w:rPr>
                    <w:t>6</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B4B4">
                  <w:pPr>
                    <w:widowControl/>
                    <w:snapToGrid w:val="0"/>
                    <w:spacing w:line="240" w:lineRule="auto"/>
                    <w:ind w:firstLine="0" w:firstLineChars="0"/>
                    <w:jc w:val="center"/>
                    <w:rPr>
                      <w:rFonts w:hint="eastAsia"/>
                      <w:kern w:val="0"/>
                      <w:sz w:val="21"/>
                      <w:szCs w:val="21"/>
                      <w:lang w:val="en-US" w:eastAsia="zh-CN"/>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B1AC">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储油</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E06B">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5B13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21B4">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10</w:t>
                  </w: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5149">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5ECF">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65立方</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5F4B">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2</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3D25">
                  <w:pPr>
                    <w:widowControl/>
                    <w:snapToGrid w:val="0"/>
                    <w:spacing w:line="240" w:lineRule="auto"/>
                    <w:ind w:firstLine="0" w:firstLineChars="0"/>
                    <w:jc w:val="center"/>
                    <w:rPr>
                      <w:rFonts w:hint="eastAsia"/>
                      <w:kern w:val="0"/>
                      <w:sz w:val="21"/>
                      <w:szCs w:val="21"/>
                      <w:lang w:val="en-US" w:eastAsia="zh-CN"/>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3C6C">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5EE0">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4469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2200">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11</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42AA">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粉状混合机</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408B">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F1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4E9D">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8F39">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精炼酶</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C8EE">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搅拌、混合工序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9C3F">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4DFE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38F3">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12</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0398">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抽料泵</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4587">
                  <w:pPr>
                    <w:widowControl/>
                    <w:snapToGrid w:val="0"/>
                    <w:spacing w:line="240" w:lineRule="auto"/>
                    <w:ind w:firstLine="0" w:firstLineChars="0"/>
                    <w:jc w:val="center"/>
                    <w:rPr>
                      <w:rFonts w:hint="default"/>
                      <w:kern w:val="0"/>
                      <w:sz w:val="21"/>
                      <w:szCs w:val="21"/>
                      <w:lang w:val="en-US" w:eastAsia="zh-CN"/>
                    </w:rPr>
                  </w:pPr>
                  <w:r>
                    <w:rPr>
                      <w:rFonts w:hint="default"/>
                      <w:kern w:val="0"/>
                      <w:sz w:val="21"/>
                      <w:szCs w:val="21"/>
                      <w:lang w:val="en-US" w:eastAsia="zh-CN"/>
                    </w:rPr>
                    <w:t>7.5KW</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1CB7">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5台</w:t>
                  </w:r>
                </w:p>
              </w:tc>
              <w:tc>
                <w:tcPr>
                  <w:tcW w:w="2048" w:type="dxa"/>
                  <w:gridSpan w:val="2"/>
                  <w:vMerge w:val="restart"/>
                  <w:tcBorders>
                    <w:top w:val="single" w:color="000000" w:sz="4" w:space="0"/>
                    <w:left w:val="single" w:color="000000" w:sz="4" w:space="0"/>
                    <w:right w:val="single" w:color="000000" w:sz="4" w:space="0"/>
                  </w:tcBorders>
                  <w:shd w:val="clear" w:color="auto" w:fill="auto"/>
                  <w:noWrap/>
                  <w:vAlign w:val="center"/>
                </w:tcPr>
                <w:p w14:paraId="2B298B17">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辅助</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BCCE">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39F9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B7A3">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13</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DFFB">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输料管</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142E">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3寸</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1624">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70米</w:t>
                  </w:r>
                </w:p>
              </w:tc>
              <w:tc>
                <w:tcPr>
                  <w:tcW w:w="2048" w:type="dxa"/>
                  <w:gridSpan w:val="2"/>
                  <w:vMerge w:val="continue"/>
                  <w:tcBorders>
                    <w:left w:val="single" w:color="000000" w:sz="4" w:space="0"/>
                    <w:right w:val="single" w:color="000000" w:sz="4" w:space="0"/>
                  </w:tcBorders>
                  <w:shd w:val="clear" w:color="auto" w:fill="auto"/>
                  <w:noWrap/>
                  <w:vAlign w:val="center"/>
                </w:tcPr>
                <w:p w14:paraId="458AAC1B">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A043">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742B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63AC">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14</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A784">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储水罐</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5C53">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5立方</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C651">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w:t>
                  </w:r>
                </w:p>
              </w:tc>
              <w:tc>
                <w:tcPr>
                  <w:tcW w:w="2048" w:type="dxa"/>
                  <w:gridSpan w:val="2"/>
                  <w:vMerge w:val="continue"/>
                  <w:tcBorders>
                    <w:left w:val="single" w:color="000000" w:sz="4" w:space="0"/>
                    <w:right w:val="single" w:color="000000" w:sz="4" w:space="0"/>
                  </w:tcBorders>
                  <w:shd w:val="clear" w:color="auto" w:fill="auto"/>
                  <w:noWrap/>
                  <w:vAlign w:val="center"/>
                </w:tcPr>
                <w:p w14:paraId="3AF1FFBD">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5738">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710B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5DF0">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15</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C1DA">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纯水机</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6D62">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D81A">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1</w:t>
                  </w:r>
                </w:p>
              </w:tc>
              <w:tc>
                <w:tcPr>
                  <w:tcW w:w="2048" w:type="dxa"/>
                  <w:gridSpan w:val="2"/>
                  <w:vMerge w:val="continue"/>
                  <w:tcBorders>
                    <w:left w:val="single" w:color="000000" w:sz="4" w:space="0"/>
                    <w:right w:val="single" w:color="000000" w:sz="4" w:space="0"/>
                  </w:tcBorders>
                  <w:shd w:val="clear" w:color="auto" w:fill="auto"/>
                  <w:noWrap/>
                  <w:vAlign w:val="center"/>
                </w:tcPr>
                <w:p w14:paraId="2F32DF96">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743C">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3B37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4364">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16</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A2C9">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抽真空罐</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9114">
                  <w:pPr>
                    <w:widowControl/>
                    <w:snapToGrid w:val="0"/>
                    <w:spacing w:line="240" w:lineRule="auto"/>
                    <w:ind w:firstLine="0" w:firstLineChars="0"/>
                    <w:jc w:val="center"/>
                    <w:rPr>
                      <w:rFonts w:hint="eastAsia"/>
                      <w:kern w:val="0"/>
                      <w:sz w:val="21"/>
                      <w:szCs w:val="21"/>
                      <w:lang w:val="en-US" w:eastAsia="zh-CN"/>
                    </w:rPr>
                  </w:pPr>
                  <w:r>
                    <w:rPr>
                      <w:rFonts w:hint="default"/>
                      <w:kern w:val="0"/>
                      <w:sz w:val="21"/>
                      <w:szCs w:val="21"/>
                      <w:lang w:val="en-US" w:eastAsia="zh-CN"/>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81A4">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w:t>
                  </w:r>
                </w:p>
              </w:tc>
              <w:tc>
                <w:tcPr>
                  <w:tcW w:w="2048" w:type="dxa"/>
                  <w:gridSpan w:val="2"/>
                  <w:vMerge w:val="continue"/>
                  <w:tcBorders>
                    <w:left w:val="single" w:color="000000" w:sz="4" w:space="0"/>
                    <w:right w:val="single" w:color="000000" w:sz="4" w:space="0"/>
                  </w:tcBorders>
                  <w:shd w:val="clear" w:color="auto" w:fill="auto"/>
                  <w:noWrap/>
                  <w:vAlign w:val="center"/>
                </w:tcPr>
                <w:p w14:paraId="225F4268">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9D5F">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r w14:paraId="08C8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6913">
                  <w:pPr>
                    <w:widowControl/>
                    <w:snapToGrid w:val="0"/>
                    <w:spacing w:line="240" w:lineRule="auto"/>
                    <w:ind w:firstLine="0" w:firstLineChars="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17</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E019">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空压机</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9E3F">
                  <w:pPr>
                    <w:widowControl/>
                    <w:snapToGrid w:val="0"/>
                    <w:spacing w:line="240" w:lineRule="auto"/>
                    <w:ind w:firstLine="0" w:firstLineChars="0"/>
                    <w:jc w:val="center"/>
                    <w:rPr>
                      <w:rFonts w:hint="eastAsia"/>
                      <w:kern w:val="0"/>
                      <w:sz w:val="21"/>
                      <w:szCs w:val="21"/>
                      <w:lang w:val="en-US" w:eastAsia="zh-CN"/>
                    </w:rPr>
                  </w:pPr>
                  <w:r>
                    <w:rPr>
                      <w:rFonts w:hint="default"/>
                      <w:kern w:val="0"/>
                      <w:sz w:val="21"/>
                      <w:szCs w:val="21"/>
                      <w:lang w:val="en-US" w:eastAsia="zh-CN"/>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AF14">
                  <w:pPr>
                    <w:widowControl/>
                    <w:snapToGrid w:val="0"/>
                    <w:spacing w:line="240" w:lineRule="auto"/>
                    <w:ind w:firstLine="0" w:firstLineChars="0"/>
                    <w:jc w:val="center"/>
                    <w:rPr>
                      <w:rFonts w:hint="eastAsia"/>
                      <w:kern w:val="0"/>
                      <w:sz w:val="21"/>
                      <w:szCs w:val="21"/>
                      <w:lang w:val="en-US" w:eastAsia="zh-CN"/>
                    </w:rPr>
                  </w:pPr>
                  <w:r>
                    <w:rPr>
                      <w:rFonts w:hint="eastAsia"/>
                      <w:kern w:val="0"/>
                      <w:sz w:val="21"/>
                      <w:szCs w:val="21"/>
                      <w:lang w:val="en-US" w:eastAsia="zh-CN"/>
                    </w:rPr>
                    <w:t>1</w:t>
                  </w:r>
                </w:p>
              </w:tc>
              <w:tc>
                <w:tcPr>
                  <w:tcW w:w="2048"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1A4811F0">
                  <w:pPr>
                    <w:widowControl/>
                    <w:snapToGrid w:val="0"/>
                    <w:spacing w:line="240" w:lineRule="auto"/>
                    <w:ind w:firstLine="0" w:firstLineChars="0"/>
                    <w:jc w:val="center"/>
                    <w:rPr>
                      <w:rFonts w:hint="eastAsia"/>
                      <w:kern w:val="0"/>
                      <w:sz w:val="21"/>
                      <w:szCs w:val="21"/>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D80E">
                  <w:pPr>
                    <w:widowControl/>
                    <w:snapToGrid w:val="0"/>
                    <w:spacing w:line="240" w:lineRule="auto"/>
                    <w:ind w:firstLine="0" w:firstLineChars="0"/>
                    <w:jc w:val="center"/>
                    <w:rPr>
                      <w:rFonts w:hint="default"/>
                      <w:kern w:val="0"/>
                      <w:sz w:val="21"/>
                      <w:szCs w:val="21"/>
                      <w:lang w:val="en-US" w:eastAsia="zh-CN"/>
                    </w:rPr>
                  </w:pPr>
                  <w:r>
                    <w:rPr>
                      <w:rFonts w:hint="eastAsia"/>
                      <w:kern w:val="0"/>
                      <w:sz w:val="21"/>
                      <w:szCs w:val="21"/>
                      <w:lang w:val="en-US" w:eastAsia="zh-CN"/>
                    </w:rPr>
                    <w:t>/</w:t>
                  </w:r>
                </w:p>
              </w:tc>
            </w:tr>
          </w:tbl>
          <w:p w14:paraId="51E4084A">
            <w:pPr>
              <w:adjustRightInd w:val="0"/>
              <w:snapToGrid w:val="0"/>
              <w:spacing w:line="240" w:lineRule="auto"/>
              <w:ind w:firstLine="0" w:firstLineChars="0"/>
              <w:rPr>
                <w:sz w:val="21"/>
                <w:szCs w:val="20"/>
              </w:rPr>
            </w:pPr>
          </w:p>
          <w:p w14:paraId="1E780ABF">
            <w:pPr>
              <w:adjustRightInd w:val="0"/>
              <w:snapToGrid w:val="0"/>
              <w:spacing w:line="300" w:lineRule="auto"/>
              <w:ind w:firstLine="482"/>
              <w:rPr>
                <w:b/>
                <w:bCs/>
                <w:szCs w:val="22"/>
              </w:rPr>
            </w:pPr>
            <w:r>
              <w:rPr>
                <w:b/>
                <w:bCs/>
                <w:szCs w:val="22"/>
              </w:rPr>
              <w:t>5、公用工程</w:t>
            </w:r>
          </w:p>
          <w:p w14:paraId="53440DB0">
            <w:pPr>
              <w:adjustRightInd w:val="0"/>
              <w:snapToGrid w:val="0"/>
              <w:spacing w:line="300" w:lineRule="auto"/>
              <w:ind w:firstLine="480"/>
              <w:rPr>
                <w:szCs w:val="22"/>
              </w:rPr>
            </w:pPr>
            <w:r>
              <w:rPr>
                <w:szCs w:val="22"/>
              </w:rPr>
              <w:t>（1）给水</w:t>
            </w:r>
          </w:p>
          <w:p w14:paraId="57BCD869">
            <w:pPr>
              <w:adjustRightInd w:val="0"/>
              <w:snapToGrid w:val="0"/>
              <w:spacing w:line="300" w:lineRule="auto"/>
              <w:ind w:firstLine="480"/>
              <w:rPr>
                <w:szCs w:val="22"/>
              </w:rPr>
            </w:pPr>
            <w:r>
              <w:rPr>
                <w:szCs w:val="22"/>
              </w:rPr>
              <w:t>本项目用水来源于市政管网。</w:t>
            </w:r>
            <w:r>
              <w:rPr>
                <w:rFonts w:hint="eastAsia"/>
                <w:szCs w:val="22"/>
                <w:lang w:val="en-US" w:eastAsia="zh-CN"/>
              </w:rPr>
              <w:t>设备采用专罐专用，基本不需要清洗，</w:t>
            </w:r>
            <w:r>
              <w:rPr>
                <w:szCs w:val="22"/>
              </w:rPr>
              <w:t>主要用水环节为</w:t>
            </w:r>
            <w:r>
              <w:rPr>
                <w:rFonts w:hint="eastAsia"/>
                <w:szCs w:val="22"/>
                <w:lang w:val="en-US" w:eastAsia="zh-CN"/>
              </w:rPr>
              <w:t>纯水制备用水和</w:t>
            </w:r>
            <w:r>
              <w:rPr>
                <w:szCs w:val="22"/>
              </w:rPr>
              <w:t>生活用水</w:t>
            </w:r>
            <w:r>
              <w:rPr>
                <w:rFonts w:hint="eastAsia"/>
                <w:szCs w:val="22"/>
                <w:lang w:eastAsia="zh-CN"/>
              </w:rPr>
              <w:t>，</w:t>
            </w:r>
            <w:r>
              <w:rPr>
                <w:rFonts w:hint="eastAsia"/>
                <w:szCs w:val="22"/>
                <w:lang w:val="en-US" w:eastAsia="zh-CN"/>
              </w:rPr>
              <w:t>总用水量1360t/a</w:t>
            </w:r>
            <w:r>
              <w:rPr>
                <w:szCs w:val="22"/>
              </w:rPr>
              <w:t>。</w:t>
            </w:r>
          </w:p>
          <w:p w14:paraId="37340268">
            <w:pPr>
              <w:adjustRightInd w:val="0"/>
              <w:snapToGrid w:val="0"/>
              <w:spacing w:line="300" w:lineRule="auto"/>
              <w:ind w:firstLine="480"/>
              <w:rPr>
                <w:rFonts w:hint="default" w:eastAsia="宋体"/>
                <w:szCs w:val="22"/>
                <w:lang w:val="en-US" w:eastAsia="zh-CN"/>
              </w:rPr>
            </w:pPr>
            <w:r>
              <w:rPr>
                <w:rFonts w:hint="eastAsia"/>
                <w:szCs w:val="22"/>
                <w:lang w:val="en-US" w:eastAsia="zh-CN"/>
              </w:rPr>
              <w:t>纯水制备用水：项目柔软剂和除油剂生产过程需要使用纯水，使用量分别占比60%和15%，本项目年产柔软剂1500t/a，除油剂400t/a，则纯水用量分别为900t/a和60t/a，合计960t/a。纯水机制纯水效率约75%，则纯水制备用水约为1280t/a，。</w:t>
            </w:r>
          </w:p>
          <w:p w14:paraId="5D3D25BB">
            <w:pPr>
              <w:adjustRightInd w:val="0"/>
              <w:snapToGrid w:val="0"/>
              <w:spacing w:line="300" w:lineRule="auto"/>
              <w:ind w:firstLine="480"/>
              <w:rPr>
                <w:rFonts w:hint="eastAsia" w:eastAsia="宋体"/>
                <w:szCs w:val="22"/>
                <w:lang w:val="en-US" w:eastAsia="zh-CN"/>
              </w:rPr>
            </w:pPr>
            <w:r>
              <w:rPr>
                <w:rFonts w:hint="eastAsia"/>
                <w:szCs w:val="22"/>
                <w:lang w:val="en-US" w:eastAsia="zh-CN"/>
              </w:rPr>
              <w:t>生活用水：</w:t>
            </w:r>
          </w:p>
          <w:p w14:paraId="37605713">
            <w:pPr>
              <w:adjustRightInd w:val="0"/>
              <w:snapToGrid w:val="0"/>
              <w:spacing w:line="300" w:lineRule="auto"/>
              <w:ind w:firstLine="480"/>
              <w:rPr>
                <w:rFonts w:hint="default" w:eastAsia="宋体"/>
                <w:szCs w:val="22"/>
                <w:lang w:val="en-US" w:eastAsia="zh-CN"/>
              </w:rPr>
            </w:pPr>
            <w:r>
              <w:rPr>
                <w:rFonts w:hint="eastAsia"/>
                <w:szCs w:val="22"/>
                <w:lang w:val="en-US" w:eastAsia="zh-CN"/>
              </w:rPr>
              <w:t>本项目员工数为8人，不设食堂和宿舍。根据广东省地方标准《用水定额第 3 部分：生活》（DB44/T1461.3-2021），工作人员生活用水参照国家行政机构办公楼（无食堂和浴室）用水定额，即 10 立方米/人·年，则生活用水总 量为80t/a。</w:t>
            </w:r>
          </w:p>
          <w:p w14:paraId="5E747E81">
            <w:pPr>
              <w:adjustRightInd w:val="0"/>
              <w:snapToGrid w:val="0"/>
              <w:spacing w:line="300" w:lineRule="auto"/>
              <w:ind w:firstLine="480"/>
              <w:rPr>
                <w:szCs w:val="22"/>
              </w:rPr>
            </w:pPr>
            <w:r>
              <w:rPr>
                <w:szCs w:val="22"/>
              </w:rPr>
              <w:t>（2）排水</w:t>
            </w:r>
          </w:p>
          <w:p w14:paraId="30187D9F">
            <w:pPr>
              <w:widowControl/>
              <w:adjustRightInd w:val="0"/>
              <w:snapToGrid w:val="0"/>
              <w:spacing w:line="300" w:lineRule="auto"/>
              <w:ind w:firstLine="480" w:firstLineChars="0"/>
              <w:jc w:val="left"/>
              <w:rPr>
                <w:rFonts w:hint="default" w:eastAsia="宋体"/>
                <w:szCs w:val="22"/>
                <w:lang w:val="en-US" w:eastAsia="zh-CN"/>
              </w:rPr>
            </w:pPr>
            <w:r>
              <w:rPr>
                <w:szCs w:val="22"/>
              </w:rPr>
              <w:t>项目</w:t>
            </w:r>
            <w:r>
              <w:rPr>
                <w:rFonts w:hint="eastAsia"/>
                <w:szCs w:val="22"/>
                <w:lang w:val="en-US" w:eastAsia="zh-CN"/>
              </w:rPr>
              <w:t>排水主要为纯水制备产生的浓水及生活污水。</w:t>
            </w:r>
          </w:p>
          <w:p w14:paraId="121C35C5">
            <w:pPr>
              <w:widowControl/>
              <w:adjustRightInd w:val="0"/>
              <w:snapToGrid w:val="0"/>
              <w:spacing w:line="300" w:lineRule="auto"/>
              <w:ind w:firstLine="480" w:firstLineChars="0"/>
              <w:jc w:val="left"/>
              <w:rPr>
                <w:rFonts w:hint="default"/>
                <w:szCs w:val="22"/>
                <w:lang w:val="en-US"/>
              </w:rPr>
            </w:pPr>
            <w:r>
              <w:rPr>
                <w:rFonts w:hint="eastAsia"/>
                <w:szCs w:val="22"/>
                <w:lang w:val="en-US" w:eastAsia="zh-CN"/>
              </w:rPr>
              <w:t>本项目纯水机制备效率75%，纯水制备用水1280t/a，则浓水产生量约为320t/a，浓水属于清净下水，污染较小，排入厂区雨水管网。</w:t>
            </w:r>
          </w:p>
          <w:p w14:paraId="30DA76EE">
            <w:pPr>
              <w:widowControl/>
              <w:adjustRightInd w:val="0"/>
              <w:snapToGrid w:val="0"/>
              <w:spacing w:line="300" w:lineRule="auto"/>
              <w:ind w:firstLine="480" w:firstLineChars="0"/>
              <w:jc w:val="left"/>
              <w:rPr>
                <w:szCs w:val="22"/>
              </w:rPr>
            </w:pPr>
            <w:r>
              <w:rPr>
                <w:rFonts w:hint="eastAsia"/>
                <w:szCs w:val="22"/>
                <w:lang w:val="en-US" w:eastAsia="zh-CN"/>
              </w:rPr>
              <w:t>项目生活用水用量80t/a，产物系数按0.9计，则生活污水产生量为72t/a，</w:t>
            </w:r>
            <w:r>
              <w:rPr>
                <w:szCs w:val="22"/>
              </w:rPr>
              <w:t>生活</w:t>
            </w:r>
            <w:r>
              <w:rPr>
                <w:rFonts w:hint="eastAsia"/>
                <w:szCs w:val="22"/>
                <w:lang w:val="en-US" w:eastAsia="zh-CN"/>
              </w:rPr>
              <w:t>污</w:t>
            </w:r>
            <w:r>
              <w:rPr>
                <w:szCs w:val="22"/>
              </w:rPr>
              <w:t>水经三级化粪池预处理达标后经市政管网进入</w:t>
            </w:r>
            <w:r>
              <w:rPr>
                <w:rFonts w:hint="eastAsia"/>
                <w:szCs w:val="22"/>
                <w:lang w:val="en-US" w:eastAsia="zh-CN"/>
              </w:rPr>
              <w:t>潮阳区污水处理厂处理。</w:t>
            </w:r>
            <w:r>
              <w:t>（雨污管网见附图</w:t>
            </w:r>
            <w:r>
              <w:rPr>
                <w:rFonts w:hint="eastAsia"/>
                <w:lang w:val="en-US" w:eastAsia="zh-CN"/>
              </w:rPr>
              <w:t>5</w:t>
            </w:r>
            <w:r>
              <w:t>）</w:t>
            </w:r>
          </w:p>
          <w:p w14:paraId="580FBB56">
            <w:pPr>
              <w:ind w:firstLine="0" w:firstLineChars="0"/>
              <w:jc w:val="center"/>
              <w:rPr>
                <w:b/>
                <w:bCs/>
                <w:szCs w:val="22"/>
              </w:rPr>
            </w:pPr>
            <w:r>
              <w:drawing>
                <wp:inline distT="0" distB="0" distL="114300" distR="114300">
                  <wp:extent cx="4539615" cy="1739900"/>
                  <wp:effectExtent l="0" t="0" r="1333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539615" cy="1739900"/>
                          </a:xfrm>
                          <a:prstGeom prst="rect">
                            <a:avLst/>
                          </a:prstGeom>
                          <a:noFill/>
                          <a:ln>
                            <a:noFill/>
                          </a:ln>
                        </pic:spPr>
                      </pic:pic>
                    </a:graphicData>
                  </a:graphic>
                </wp:inline>
              </w:drawing>
            </w:r>
          </w:p>
          <w:p w14:paraId="105E9E7E">
            <w:pPr>
              <w:ind w:firstLine="0" w:firstLineChars="0"/>
              <w:jc w:val="center"/>
              <w:rPr>
                <w:b/>
                <w:bCs/>
                <w:szCs w:val="22"/>
              </w:rPr>
            </w:pPr>
            <w:r>
              <w:rPr>
                <w:b/>
                <w:bCs/>
                <w:szCs w:val="22"/>
              </w:rPr>
              <w:t>图2-1本项目水平衡图（单位：m</w:t>
            </w:r>
            <w:r>
              <w:rPr>
                <w:b/>
                <w:bCs/>
                <w:szCs w:val="22"/>
                <w:vertAlign w:val="superscript"/>
              </w:rPr>
              <w:t>3</w:t>
            </w:r>
            <w:r>
              <w:rPr>
                <w:b/>
                <w:bCs/>
                <w:szCs w:val="22"/>
              </w:rPr>
              <w:t>/a）</w:t>
            </w:r>
          </w:p>
          <w:p w14:paraId="49AB3041">
            <w:pPr>
              <w:adjustRightInd w:val="0"/>
              <w:snapToGrid w:val="0"/>
              <w:spacing w:line="300" w:lineRule="auto"/>
              <w:ind w:firstLine="480"/>
              <w:rPr>
                <w:szCs w:val="22"/>
              </w:rPr>
            </w:pPr>
            <w:r>
              <w:rPr>
                <w:szCs w:val="22"/>
              </w:rPr>
              <w:t>（3）供电</w:t>
            </w:r>
          </w:p>
          <w:p w14:paraId="2ED1678B">
            <w:pPr>
              <w:adjustRightInd w:val="0"/>
              <w:snapToGrid w:val="0"/>
              <w:spacing w:line="300" w:lineRule="auto"/>
              <w:ind w:firstLine="480"/>
              <w:rPr>
                <w:szCs w:val="22"/>
              </w:rPr>
            </w:pPr>
            <w:r>
              <w:rPr>
                <w:szCs w:val="22"/>
              </w:rPr>
              <w:t>本项目由市政管网供电系统供给。</w:t>
            </w:r>
          </w:p>
          <w:p w14:paraId="4E1F7538">
            <w:pPr>
              <w:adjustRightInd w:val="0"/>
              <w:snapToGrid w:val="0"/>
              <w:spacing w:line="300" w:lineRule="auto"/>
              <w:ind w:firstLine="482"/>
              <w:rPr>
                <w:b/>
                <w:bCs/>
                <w:szCs w:val="22"/>
              </w:rPr>
            </w:pPr>
            <w:r>
              <w:rPr>
                <w:b/>
                <w:bCs/>
                <w:szCs w:val="22"/>
              </w:rPr>
              <w:t>6、总平面布置</w:t>
            </w:r>
          </w:p>
          <w:p w14:paraId="7369ABCC">
            <w:pPr>
              <w:adjustRightInd w:val="0"/>
              <w:snapToGrid w:val="0"/>
              <w:spacing w:line="300" w:lineRule="auto"/>
              <w:ind w:firstLine="482"/>
              <w:rPr>
                <w:rFonts w:hint="eastAsia"/>
                <w:szCs w:val="22"/>
              </w:rPr>
            </w:pPr>
            <w:r>
              <w:rPr>
                <w:rFonts w:hint="eastAsia"/>
                <w:szCs w:val="22"/>
              </w:rPr>
              <w:t>项目土地已平整，可直接施工。厂区主要包括 1 栋 1 层加工车间，成品区位于厂房中部，办公室在厂房北部。生产区位于厂房东部和南部。项目根据单元的性质、功能差异，尽量将单元性质相近、功能联系密切的单元紧凑布置在一个分区，形成了生产区、办公区、仓储区等，各功能区又相对集中布置，即方便管理，有利安全，同时又便于管理、方便检修、重视安全、有利于生产为目的，项目平面布置合理可行，厂房平面布置详见附图</w:t>
            </w:r>
            <w:r>
              <w:rPr>
                <w:rFonts w:hint="eastAsia"/>
                <w:szCs w:val="22"/>
                <w:lang w:val="en-US" w:eastAsia="zh-CN"/>
              </w:rPr>
              <w:t>3</w:t>
            </w:r>
            <w:r>
              <w:rPr>
                <w:rFonts w:hint="eastAsia"/>
                <w:szCs w:val="22"/>
              </w:rPr>
              <w:t>。</w:t>
            </w:r>
          </w:p>
          <w:p w14:paraId="086C33F5">
            <w:pPr>
              <w:adjustRightInd w:val="0"/>
              <w:snapToGrid w:val="0"/>
              <w:spacing w:line="300" w:lineRule="auto"/>
              <w:ind w:firstLine="482"/>
              <w:rPr>
                <w:b/>
                <w:bCs/>
                <w:szCs w:val="22"/>
              </w:rPr>
            </w:pPr>
            <w:r>
              <w:rPr>
                <w:b/>
                <w:bCs/>
                <w:szCs w:val="22"/>
              </w:rPr>
              <w:t>7、劳动定员及工作制度</w:t>
            </w:r>
          </w:p>
          <w:p w14:paraId="043B10D5">
            <w:pPr>
              <w:adjustRightInd w:val="0"/>
              <w:snapToGrid w:val="0"/>
              <w:spacing w:line="300" w:lineRule="auto"/>
              <w:ind w:firstLine="480"/>
              <w:rPr>
                <w:szCs w:val="22"/>
              </w:rPr>
            </w:pPr>
            <w:r>
              <w:rPr>
                <w:szCs w:val="22"/>
              </w:rPr>
              <w:t>项目定员</w:t>
            </w:r>
            <w:r>
              <w:rPr>
                <w:rFonts w:hint="eastAsia"/>
                <w:szCs w:val="22"/>
                <w:lang w:val="en-US" w:eastAsia="zh-CN"/>
              </w:rPr>
              <w:t>8</w:t>
            </w:r>
            <w:r>
              <w:rPr>
                <w:szCs w:val="22"/>
              </w:rPr>
              <w:t>人，年运营</w:t>
            </w:r>
            <w:r>
              <w:rPr>
                <w:rFonts w:hint="eastAsia"/>
                <w:szCs w:val="22"/>
                <w:lang w:val="en-US" w:eastAsia="zh-CN"/>
              </w:rPr>
              <w:t>250</w:t>
            </w:r>
            <w:r>
              <w:rPr>
                <w:szCs w:val="22"/>
              </w:rPr>
              <w:t>天，每天</w:t>
            </w:r>
            <w:r>
              <w:rPr>
                <w:rFonts w:hint="eastAsia"/>
                <w:szCs w:val="22"/>
                <w:lang w:val="en-US" w:eastAsia="zh-CN"/>
              </w:rPr>
              <w:t>1</w:t>
            </w:r>
            <w:r>
              <w:rPr>
                <w:szCs w:val="22"/>
              </w:rPr>
              <w:t>班工作制，每班8小时。</w:t>
            </w:r>
          </w:p>
        </w:tc>
      </w:tr>
      <w:tr w14:paraId="18E08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5" w:hRule="atLeast"/>
          <w:jc w:val="center"/>
        </w:trPr>
        <w:tc>
          <w:tcPr>
            <w:tcW w:w="494" w:type="dxa"/>
            <w:vAlign w:val="center"/>
          </w:tcPr>
          <w:p w14:paraId="5B3C1F5A">
            <w:pPr>
              <w:autoSpaceDE w:val="0"/>
              <w:autoSpaceDN w:val="0"/>
              <w:adjustRightInd w:val="0"/>
              <w:snapToGrid w:val="0"/>
              <w:spacing w:line="240" w:lineRule="auto"/>
              <w:ind w:firstLine="0" w:firstLineChars="0"/>
              <w:rPr>
                <w:sz w:val="28"/>
                <w:szCs w:val="28"/>
              </w:rPr>
            </w:pPr>
            <w:r>
              <w:rPr>
                <w:kern w:val="0"/>
              </w:rPr>
              <w:t>工艺流程和产排污环节</w:t>
            </w:r>
          </w:p>
        </w:tc>
        <w:tc>
          <w:tcPr>
            <w:tcW w:w="8566" w:type="dxa"/>
            <w:vAlign w:val="top"/>
          </w:tcPr>
          <w:p w14:paraId="70BA7523">
            <w:pPr>
              <w:adjustRightInd w:val="0"/>
              <w:snapToGrid w:val="0"/>
              <w:spacing w:line="300" w:lineRule="auto"/>
              <w:ind w:firstLine="482"/>
              <w:rPr>
                <w:b/>
                <w:bCs/>
                <w:szCs w:val="22"/>
              </w:rPr>
            </w:pPr>
            <w:r>
              <w:rPr>
                <w:b/>
                <w:bCs/>
                <w:szCs w:val="22"/>
              </w:rPr>
              <w:t>施工期流程：</w:t>
            </w:r>
          </w:p>
          <w:p w14:paraId="7DCD5190">
            <w:pPr>
              <w:adjustRightInd w:val="0"/>
              <w:snapToGrid w:val="0"/>
              <w:spacing w:line="300" w:lineRule="auto"/>
              <w:ind w:firstLine="480"/>
              <w:rPr>
                <w:szCs w:val="22"/>
              </w:rPr>
            </w:pPr>
            <w:r>
              <w:rPr>
                <w:szCs w:val="22"/>
              </w:rPr>
              <w:t>本项目租用已建成厂房进行建设，不涉及土石方等土建作业和大型机械作业，仅开展室内装修、设备安装等作业，影响较小，本环评不对其做影响评价。</w:t>
            </w:r>
          </w:p>
          <w:p w14:paraId="47483D9D">
            <w:pPr>
              <w:adjustRightInd w:val="0"/>
              <w:snapToGrid w:val="0"/>
              <w:spacing w:line="300" w:lineRule="auto"/>
              <w:ind w:firstLine="482"/>
              <w:rPr>
                <w:b/>
                <w:bCs/>
                <w:szCs w:val="22"/>
              </w:rPr>
            </w:pPr>
            <w:r>
              <w:rPr>
                <w:b/>
                <w:bCs/>
                <w:szCs w:val="22"/>
              </w:rPr>
              <w:t>运营期</w:t>
            </w:r>
            <w:r>
              <w:rPr>
                <w:rFonts w:hint="eastAsia"/>
                <w:b/>
                <w:bCs/>
                <w:szCs w:val="22"/>
                <w:lang w:val="en-US" w:eastAsia="zh-CN"/>
              </w:rPr>
              <w:t>工艺</w:t>
            </w:r>
            <w:r>
              <w:rPr>
                <w:b/>
                <w:bCs/>
                <w:szCs w:val="22"/>
              </w:rPr>
              <w:t>流程：</w:t>
            </w:r>
          </w:p>
          <w:p w14:paraId="7CA9DE0D">
            <w:pPr>
              <w:numPr>
                <w:ilvl w:val="0"/>
                <w:numId w:val="4"/>
              </w:numPr>
              <w:ind w:left="480" w:leftChars="0" w:firstLine="0" w:firstLineChars="0"/>
              <w:jc w:val="both"/>
              <w:rPr>
                <w:rFonts w:hint="eastAsia"/>
                <w:b/>
                <w:bCs/>
                <w:szCs w:val="22"/>
                <w:lang w:val="en-US" w:eastAsia="zh-CN"/>
              </w:rPr>
            </w:pPr>
            <w:r>
              <w:rPr>
                <w:rFonts w:hint="eastAsia"/>
                <w:b/>
                <w:bCs/>
                <w:szCs w:val="22"/>
                <w:lang w:val="en-US" w:eastAsia="zh-CN"/>
              </w:rPr>
              <w:t>柔软剂、纺织油剂生产工艺流程:</w:t>
            </w:r>
          </w:p>
          <w:p w14:paraId="12B98960">
            <w:pPr>
              <w:numPr>
                <w:ilvl w:val="0"/>
                <w:numId w:val="0"/>
              </w:numPr>
              <w:jc w:val="center"/>
              <w:rPr>
                <w:rFonts w:hint="default"/>
                <w:b/>
                <w:bCs/>
                <w:szCs w:val="22"/>
                <w:lang w:val="en-US" w:eastAsia="zh-CN"/>
              </w:rPr>
            </w:pPr>
            <w:r>
              <w:drawing>
                <wp:inline distT="0" distB="0" distL="114300" distR="114300">
                  <wp:extent cx="4135120" cy="2378710"/>
                  <wp:effectExtent l="0" t="0" r="17780" b="25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6"/>
                          <a:stretch>
                            <a:fillRect/>
                          </a:stretch>
                        </pic:blipFill>
                        <pic:spPr>
                          <a:xfrm>
                            <a:off x="0" y="0"/>
                            <a:ext cx="4135120" cy="2378710"/>
                          </a:xfrm>
                          <a:prstGeom prst="rect">
                            <a:avLst/>
                          </a:prstGeom>
                          <a:noFill/>
                          <a:ln>
                            <a:noFill/>
                          </a:ln>
                        </pic:spPr>
                      </pic:pic>
                    </a:graphicData>
                  </a:graphic>
                </wp:inline>
              </w:drawing>
            </w:r>
          </w:p>
          <w:p w14:paraId="566ED1BB">
            <w:pPr>
              <w:numPr>
                <w:ilvl w:val="0"/>
                <w:numId w:val="0"/>
              </w:numPr>
              <w:jc w:val="center"/>
              <w:rPr>
                <w:rFonts w:hint="default"/>
                <w:b/>
                <w:bCs/>
                <w:szCs w:val="22"/>
                <w:lang w:val="en-US" w:eastAsia="zh-CN"/>
              </w:rPr>
            </w:pPr>
            <w:r>
              <w:rPr>
                <w:rFonts w:hint="eastAsia"/>
                <w:b/>
                <w:bCs/>
                <w:szCs w:val="22"/>
                <w:lang w:val="en-US" w:eastAsia="zh-CN"/>
              </w:rPr>
              <w:t>图2-2 柔软剂、纺织油剂生产流程图</w:t>
            </w:r>
          </w:p>
          <w:p w14:paraId="1DD281ED">
            <w:pPr>
              <w:numPr>
                <w:ilvl w:val="0"/>
                <w:numId w:val="0"/>
              </w:numPr>
              <w:ind w:firstLine="482" w:firstLineChars="200"/>
              <w:jc w:val="both"/>
              <w:rPr>
                <w:rFonts w:hint="default" w:eastAsia="宋体"/>
                <w:b/>
                <w:bCs/>
                <w:szCs w:val="22"/>
                <w:lang w:val="en-US" w:eastAsia="zh-CN"/>
              </w:rPr>
            </w:pPr>
            <w:r>
              <w:rPr>
                <w:rFonts w:hint="eastAsia"/>
                <w:b/>
                <w:bCs/>
                <w:szCs w:val="22"/>
                <w:lang w:val="en-US" w:eastAsia="zh-CN"/>
              </w:rPr>
              <w:t>工艺流程说明：</w:t>
            </w:r>
          </w:p>
          <w:p w14:paraId="4BDE473C">
            <w:pPr>
              <w:numPr>
                <w:ilvl w:val="0"/>
                <w:numId w:val="0"/>
              </w:numPr>
              <w:ind w:firstLine="482" w:firstLineChars="200"/>
              <w:jc w:val="both"/>
              <w:rPr>
                <w:rFonts w:hint="eastAsia"/>
                <w:b w:val="0"/>
                <w:bCs w:val="0"/>
                <w:szCs w:val="22"/>
                <w:lang w:val="en-US" w:eastAsia="zh-CN"/>
              </w:rPr>
            </w:pPr>
            <w:r>
              <w:rPr>
                <w:rFonts w:hint="eastAsia"/>
                <w:b/>
                <w:bCs/>
                <w:szCs w:val="22"/>
                <w:lang w:val="en-US" w:eastAsia="zh-CN"/>
              </w:rPr>
              <w:t>配/送料：</w:t>
            </w:r>
            <w:r>
              <w:rPr>
                <w:rFonts w:hint="eastAsia"/>
                <w:b w:val="0"/>
                <w:bCs w:val="0"/>
                <w:szCs w:val="22"/>
                <w:lang w:val="en-US" w:eastAsia="zh-CN"/>
              </w:rPr>
              <w:t>按照客户需求对物料进行配比，将配比完成的物料（均为液体）使用送料泵通过管道送料进入搅拌罐，管道及搅拌罐均为密闭状态。</w:t>
            </w:r>
          </w:p>
          <w:p w14:paraId="1043448F">
            <w:pPr>
              <w:numPr>
                <w:ilvl w:val="0"/>
                <w:numId w:val="0"/>
              </w:numPr>
              <w:ind w:firstLine="482" w:firstLineChars="200"/>
              <w:jc w:val="both"/>
              <w:rPr>
                <w:rFonts w:hint="eastAsia"/>
                <w:b w:val="0"/>
                <w:bCs w:val="0"/>
                <w:szCs w:val="22"/>
                <w:lang w:val="en-US" w:eastAsia="zh-CN"/>
              </w:rPr>
            </w:pPr>
            <w:r>
              <w:rPr>
                <w:rFonts w:hint="eastAsia"/>
                <w:b/>
                <w:bCs/>
                <w:szCs w:val="22"/>
                <w:lang w:val="en-US" w:eastAsia="zh-CN"/>
              </w:rPr>
              <w:t>搅拌：</w:t>
            </w:r>
            <w:r>
              <w:rPr>
                <w:rFonts w:hint="eastAsia"/>
                <w:b w:val="0"/>
                <w:bCs w:val="0"/>
                <w:szCs w:val="22"/>
                <w:lang w:val="en-US" w:eastAsia="zh-CN"/>
              </w:rPr>
              <w:t>物料送至搅拌罐后开始进行搅拌，搅拌过程在常温常压下进行，搅拌的作用是使物料均质化，增强其流动性和可操作性，确保产品的均一性。由于液态物料具有一定粘性，随着搅拌桨的转动，搅拌桨与液体之间摩擦力及液体内部粘性耗散作用，物料温度升高，会有少量有机废气挥发。</w:t>
            </w:r>
          </w:p>
          <w:p w14:paraId="355461DA">
            <w:pPr>
              <w:numPr>
                <w:ilvl w:val="0"/>
                <w:numId w:val="0"/>
              </w:numPr>
              <w:ind w:firstLine="480" w:firstLineChars="200"/>
              <w:jc w:val="both"/>
              <w:rPr>
                <w:rFonts w:hint="default"/>
                <w:b/>
                <w:bCs/>
                <w:szCs w:val="22"/>
                <w:lang w:val="en-US" w:eastAsia="zh-CN"/>
              </w:rPr>
            </w:pPr>
            <w:r>
              <w:rPr>
                <w:rFonts w:hint="eastAsia"/>
                <w:b w:val="0"/>
                <w:bCs w:val="0"/>
                <w:szCs w:val="22"/>
                <w:lang w:val="en-US" w:eastAsia="zh-CN"/>
              </w:rPr>
              <w:t>即此过程会有少量有机废气产生。</w:t>
            </w:r>
          </w:p>
          <w:p w14:paraId="050EED9D">
            <w:pPr>
              <w:numPr>
                <w:ilvl w:val="0"/>
                <w:numId w:val="0"/>
              </w:numPr>
              <w:ind w:firstLine="482" w:firstLineChars="200"/>
              <w:jc w:val="both"/>
              <w:rPr>
                <w:rFonts w:hint="default"/>
                <w:b w:val="0"/>
                <w:bCs w:val="0"/>
                <w:szCs w:val="22"/>
                <w:lang w:val="en-US" w:eastAsia="zh-CN"/>
              </w:rPr>
            </w:pPr>
            <w:r>
              <w:rPr>
                <w:rFonts w:hint="eastAsia"/>
                <w:b/>
                <w:bCs/>
                <w:szCs w:val="22"/>
                <w:lang w:val="en-US" w:eastAsia="zh-CN"/>
              </w:rPr>
              <w:t>分装：</w:t>
            </w:r>
            <w:r>
              <w:rPr>
                <w:rFonts w:hint="eastAsia"/>
                <w:b w:val="0"/>
                <w:bCs w:val="0"/>
                <w:szCs w:val="22"/>
                <w:lang w:val="en-US" w:eastAsia="zh-CN"/>
              </w:rPr>
              <w:t xml:space="preserve">将搅拌完成的物料按照产品规格进行分装，分装完即为成品。由于搅拌罐中可能会有少量残存的有机废气，分装过程会有少量有机废气产生。  </w:t>
            </w:r>
          </w:p>
          <w:p w14:paraId="23ACF214">
            <w:pPr>
              <w:numPr>
                <w:ilvl w:val="0"/>
                <w:numId w:val="4"/>
              </w:numPr>
              <w:ind w:left="480" w:leftChars="0" w:firstLine="0" w:firstLineChars="0"/>
              <w:jc w:val="both"/>
              <w:rPr>
                <w:rFonts w:hint="eastAsia"/>
                <w:b/>
                <w:bCs/>
                <w:szCs w:val="22"/>
                <w:lang w:val="en-US" w:eastAsia="zh-CN"/>
              </w:rPr>
            </w:pPr>
            <w:r>
              <w:rPr>
                <w:rFonts w:hint="eastAsia"/>
                <w:b/>
                <w:bCs/>
                <w:szCs w:val="22"/>
                <w:lang w:val="en-US" w:eastAsia="zh-CN"/>
              </w:rPr>
              <w:t>除油剂生产工艺流程:</w:t>
            </w:r>
          </w:p>
          <w:p w14:paraId="40C8B0AD">
            <w:pPr>
              <w:numPr>
                <w:ilvl w:val="0"/>
                <w:numId w:val="0"/>
              </w:numPr>
              <w:jc w:val="center"/>
              <w:rPr>
                <w:rFonts w:hint="eastAsia"/>
                <w:b/>
                <w:bCs/>
                <w:szCs w:val="22"/>
                <w:lang w:val="en-US" w:eastAsia="zh-CN"/>
              </w:rPr>
            </w:pPr>
            <w:r>
              <w:drawing>
                <wp:inline distT="0" distB="0" distL="114300" distR="114300">
                  <wp:extent cx="3935730" cy="2602230"/>
                  <wp:effectExtent l="0" t="0" r="7620" b="762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7"/>
                          <a:stretch>
                            <a:fillRect/>
                          </a:stretch>
                        </pic:blipFill>
                        <pic:spPr>
                          <a:xfrm>
                            <a:off x="0" y="0"/>
                            <a:ext cx="3935730" cy="2602230"/>
                          </a:xfrm>
                          <a:prstGeom prst="rect">
                            <a:avLst/>
                          </a:prstGeom>
                          <a:noFill/>
                          <a:ln>
                            <a:noFill/>
                          </a:ln>
                        </pic:spPr>
                      </pic:pic>
                    </a:graphicData>
                  </a:graphic>
                </wp:inline>
              </w:drawing>
            </w:r>
          </w:p>
          <w:p w14:paraId="73E85552">
            <w:pPr>
              <w:numPr>
                <w:ilvl w:val="0"/>
                <w:numId w:val="0"/>
              </w:numPr>
              <w:jc w:val="center"/>
              <w:rPr>
                <w:rFonts w:hint="default"/>
                <w:b/>
                <w:bCs/>
                <w:szCs w:val="22"/>
                <w:lang w:val="en-US" w:eastAsia="zh-CN"/>
              </w:rPr>
            </w:pPr>
            <w:r>
              <w:rPr>
                <w:rFonts w:hint="eastAsia"/>
                <w:b/>
                <w:bCs/>
                <w:szCs w:val="22"/>
                <w:lang w:val="en-US" w:eastAsia="zh-CN"/>
              </w:rPr>
              <w:t>图2-3 除油剂生产流程图</w:t>
            </w:r>
          </w:p>
          <w:p w14:paraId="188FC0F4">
            <w:pPr>
              <w:numPr>
                <w:ilvl w:val="0"/>
                <w:numId w:val="0"/>
              </w:numPr>
              <w:ind w:firstLine="482" w:firstLineChars="200"/>
              <w:jc w:val="both"/>
              <w:rPr>
                <w:rFonts w:hint="default"/>
                <w:b w:val="0"/>
                <w:bCs w:val="0"/>
                <w:szCs w:val="22"/>
                <w:lang w:val="en-US" w:eastAsia="zh-CN"/>
              </w:rPr>
            </w:pPr>
            <w:r>
              <w:rPr>
                <w:rFonts w:hint="eastAsia"/>
                <w:b/>
                <w:bCs/>
                <w:szCs w:val="22"/>
                <w:lang w:val="en-US" w:eastAsia="zh-CN"/>
              </w:rPr>
              <w:t>配/送料：</w:t>
            </w:r>
            <w:r>
              <w:rPr>
                <w:rFonts w:hint="eastAsia"/>
                <w:b w:val="0"/>
                <w:bCs w:val="0"/>
                <w:szCs w:val="22"/>
                <w:lang w:val="en-US" w:eastAsia="zh-CN"/>
              </w:rPr>
              <w:t>按照客户需求对物料进行配比，将配比完成的物料（氯化钠溶解在纯水中）使用送料泵通过管道送料进入搅拌罐。</w:t>
            </w:r>
          </w:p>
          <w:p w14:paraId="150A30B4">
            <w:pPr>
              <w:numPr>
                <w:ilvl w:val="0"/>
                <w:numId w:val="0"/>
              </w:numPr>
              <w:ind w:firstLine="482" w:firstLineChars="200"/>
              <w:jc w:val="both"/>
              <w:rPr>
                <w:rFonts w:hint="eastAsia"/>
                <w:b w:val="0"/>
                <w:bCs w:val="0"/>
                <w:szCs w:val="22"/>
                <w:lang w:val="en-US" w:eastAsia="zh-CN"/>
              </w:rPr>
            </w:pPr>
            <w:r>
              <w:rPr>
                <w:rFonts w:hint="eastAsia"/>
                <w:b/>
                <w:bCs/>
                <w:szCs w:val="22"/>
                <w:lang w:val="en-US" w:eastAsia="zh-CN"/>
              </w:rPr>
              <w:t>搅拌：</w:t>
            </w:r>
            <w:r>
              <w:rPr>
                <w:rFonts w:hint="eastAsia"/>
                <w:b w:val="0"/>
                <w:bCs w:val="0"/>
                <w:szCs w:val="22"/>
                <w:lang w:val="en-US" w:eastAsia="zh-CN"/>
              </w:rPr>
              <w:t>物料送至搅拌罐后开始进行搅拌，搅拌过程在常温常压下进行，搅拌的作用是使物料均质化，增强其流动性和可操作性，确保产品的均一性。由于液态物料具有一定粘性，随着搅拌桨的转动，搅拌桨与液体之间摩擦力及液体内部粘性耗散作用，物料温度升高，会有少量有机废气挥发。</w:t>
            </w:r>
          </w:p>
          <w:p w14:paraId="110F38A0">
            <w:pPr>
              <w:numPr>
                <w:ilvl w:val="0"/>
                <w:numId w:val="0"/>
              </w:numPr>
              <w:ind w:firstLine="480" w:firstLineChars="200"/>
              <w:jc w:val="both"/>
              <w:rPr>
                <w:rFonts w:hint="default"/>
                <w:b/>
                <w:bCs/>
                <w:szCs w:val="22"/>
                <w:lang w:val="en-US" w:eastAsia="zh-CN"/>
              </w:rPr>
            </w:pPr>
            <w:r>
              <w:rPr>
                <w:rFonts w:hint="eastAsia"/>
                <w:b w:val="0"/>
                <w:bCs w:val="0"/>
                <w:szCs w:val="22"/>
                <w:lang w:val="en-US" w:eastAsia="zh-CN"/>
              </w:rPr>
              <w:t>即此过程会有少量有机废气产生。</w:t>
            </w:r>
          </w:p>
          <w:p w14:paraId="075BD345">
            <w:pPr>
              <w:numPr>
                <w:ilvl w:val="0"/>
                <w:numId w:val="0"/>
              </w:numPr>
              <w:ind w:firstLine="482" w:firstLineChars="200"/>
              <w:jc w:val="both"/>
              <w:rPr>
                <w:rFonts w:hint="eastAsia"/>
                <w:b/>
                <w:bCs/>
                <w:szCs w:val="22"/>
                <w:lang w:val="en-US" w:eastAsia="zh-CN"/>
              </w:rPr>
            </w:pPr>
            <w:r>
              <w:rPr>
                <w:rFonts w:hint="eastAsia"/>
                <w:b/>
                <w:bCs/>
                <w:szCs w:val="22"/>
                <w:lang w:val="en-US" w:eastAsia="zh-CN"/>
              </w:rPr>
              <w:t>分装：</w:t>
            </w:r>
            <w:r>
              <w:rPr>
                <w:rFonts w:hint="eastAsia"/>
                <w:b w:val="0"/>
                <w:bCs w:val="0"/>
                <w:szCs w:val="22"/>
                <w:lang w:val="en-US" w:eastAsia="zh-CN"/>
              </w:rPr>
              <w:t>将搅拌完成的物料按照产品规格进行分装，分装完即为成品。由于搅拌罐中可能会有少量残存的有机废气，分装过程会有少量有机废气产生。</w:t>
            </w:r>
          </w:p>
          <w:p w14:paraId="30AB2E2E">
            <w:pPr>
              <w:numPr>
                <w:ilvl w:val="0"/>
                <w:numId w:val="4"/>
              </w:numPr>
              <w:ind w:left="480" w:leftChars="0" w:firstLine="0" w:firstLineChars="0"/>
              <w:jc w:val="both"/>
              <w:rPr>
                <w:rFonts w:hint="eastAsia"/>
                <w:b/>
                <w:bCs/>
                <w:szCs w:val="22"/>
                <w:lang w:val="en-US" w:eastAsia="zh-CN"/>
              </w:rPr>
            </w:pPr>
            <w:r>
              <w:rPr>
                <w:rFonts w:hint="eastAsia"/>
                <w:b/>
                <w:bCs/>
                <w:szCs w:val="22"/>
                <w:lang w:val="en-US" w:eastAsia="zh-CN"/>
              </w:rPr>
              <w:t>精炼酶生产工艺流程:</w:t>
            </w:r>
          </w:p>
          <w:p w14:paraId="37F8A228">
            <w:pPr>
              <w:numPr>
                <w:ilvl w:val="0"/>
                <w:numId w:val="0"/>
              </w:numPr>
              <w:jc w:val="center"/>
              <w:rPr>
                <w:rFonts w:hint="eastAsia"/>
                <w:b/>
                <w:bCs/>
                <w:szCs w:val="22"/>
                <w:lang w:val="en-US" w:eastAsia="zh-CN"/>
              </w:rPr>
            </w:pPr>
            <w:r>
              <w:drawing>
                <wp:inline distT="0" distB="0" distL="114300" distR="114300">
                  <wp:extent cx="3047365" cy="2245995"/>
                  <wp:effectExtent l="0" t="0" r="635" b="190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8"/>
                          <a:stretch>
                            <a:fillRect/>
                          </a:stretch>
                        </pic:blipFill>
                        <pic:spPr>
                          <a:xfrm>
                            <a:off x="0" y="0"/>
                            <a:ext cx="3047365" cy="2245995"/>
                          </a:xfrm>
                          <a:prstGeom prst="rect">
                            <a:avLst/>
                          </a:prstGeom>
                          <a:noFill/>
                          <a:ln>
                            <a:noFill/>
                          </a:ln>
                        </pic:spPr>
                      </pic:pic>
                    </a:graphicData>
                  </a:graphic>
                </wp:inline>
              </w:drawing>
            </w:r>
          </w:p>
          <w:p w14:paraId="5B64CA7B">
            <w:pPr>
              <w:numPr>
                <w:ilvl w:val="0"/>
                <w:numId w:val="0"/>
              </w:numPr>
              <w:jc w:val="center"/>
              <w:rPr>
                <w:rFonts w:hint="default"/>
                <w:b/>
                <w:bCs/>
                <w:szCs w:val="22"/>
                <w:lang w:val="en-US" w:eastAsia="zh-CN"/>
              </w:rPr>
            </w:pPr>
            <w:r>
              <w:rPr>
                <w:rFonts w:hint="eastAsia"/>
                <w:b/>
                <w:bCs/>
                <w:szCs w:val="22"/>
                <w:lang w:val="en-US" w:eastAsia="zh-CN"/>
              </w:rPr>
              <w:t>图2-4 精炼酶生产流程图</w:t>
            </w:r>
          </w:p>
          <w:p w14:paraId="242FBE91">
            <w:pPr>
              <w:numPr>
                <w:ilvl w:val="0"/>
                <w:numId w:val="0"/>
              </w:numPr>
              <w:jc w:val="center"/>
              <w:rPr>
                <w:rFonts w:hint="default"/>
                <w:b/>
                <w:bCs/>
                <w:szCs w:val="22"/>
                <w:lang w:val="en-US" w:eastAsia="zh-CN"/>
              </w:rPr>
            </w:pPr>
          </w:p>
          <w:p w14:paraId="60DD7572">
            <w:pPr>
              <w:numPr>
                <w:ilvl w:val="0"/>
                <w:numId w:val="0"/>
              </w:numPr>
              <w:ind w:firstLine="482" w:firstLineChars="200"/>
              <w:jc w:val="both"/>
              <w:rPr>
                <w:rFonts w:hint="default" w:eastAsia="宋体"/>
                <w:b/>
                <w:bCs/>
                <w:szCs w:val="22"/>
                <w:lang w:val="en-US" w:eastAsia="zh-CN"/>
              </w:rPr>
            </w:pPr>
            <w:r>
              <w:rPr>
                <w:rFonts w:hint="eastAsia"/>
                <w:b/>
                <w:bCs/>
                <w:szCs w:val="22"/>
                <w:lang w:val="en-US" w:eastAsia="zh-CN"/>
              </w:rPr>
              <w:t>工艺流程说明：</w:t>
            </w:r>
          </w:p>
          <w:p w14:paraId="1DAFB916">
            <w:pPr>
              <w:numPr>
                <w:ilvl w:val="0"/>
                <w:numId w:val="0"/>
              </w:numPr>
              <w:ind w:firstLine="482" w:firstLineChars="200"/>
              <w:jc w:val="both"/>
              <w:rPr>
                <w:rFonts w:hint="eastAsia"/>
                <w:b w:val="0"/>
                <w:bCs w:val="0"/>
                <w:szCs w:val="22"/>
                <w:lang w:val="en-US" w:eastAsia="zh-CN"/>
              </w:rPr>
            </w:pPr>
            <w:r>
              <w:rPr>
                <w:rFonts w:hint="eastAsia"/>
                <w:b/>
                <w:bCs/>
                <w:szCs w:val="22"/>
                <w:lang w:val="en-US" w:eastAsia="zh-CN"/>
              </w:rPr>
              <w:t>配投料：</w:t>
            </w:r>
            <w:r>
              <w:rPr>
                <w:rFonts w:hint="eastAsia"/>
                <w:b w:val="0"/>
                <w:bCs w:val="0"/>
                <w:szCs w:val="22"/>
                <w:lang w:val="en-US" w:eastAsia="zh-CN"/>
              </w:rPr>
              <w:t>按照一定比例对物料进行配比，将配比完成的物料粉体料（氯化钠）通过人工投料进入搅拌罐，此过程会产生少量粉尘。</w:t>
            </w:r>
          </w:p>
          <w:p w14:paraId="2F7503EC">
            <w:pPr>
              <w:numPr>
                <w:ilvl w:val="0"/>
                <w:numId w:val="0"/>
              </w:numPr>
              <w:ind w:firstLine="482" w:firstLineChars="200"/>
              <w:jc w:val="both"/>
              <w:rPr>
                <w:rFonts w:hint="default"/>
                <w:b/>
                <w:bCs/>
                <w:szCs w:val="22"/>
                <w:lang w:val="en-US" w:eastAsia="zh-CN"/>
              </w:rPr>
            </w:pPr>
            <w:r>
              <w:rPr>
                <w:rFonts w:hint="eastAsia"/>
                <w:b/>
                <w:bCs/>
                <w:szCs w:val="22"/>
                <w:lang w:val="en-US" w:eastAsia="zh-CN"/>
              </w:rPr>
              <w:t>混合：</w:t>
            </w:r>
            <w:r>
              <w:rPr>
                <w:rFonts w:hint="eastAsia"/>
                <w:b w:val="0"/>
                <w:bCs w:val="0"/>
                <w:szCs w:val="22"/>
                <w:lang w:val="en-US" w:eastAsia="zh-CN"/>
              </w:rPr>
              <w:t>物料送至粉料混合机后开始进行搅拌混合，混合过程会有粉尘产生。</w:t>
            </w:r>
          </w:p>
          <w:p w14:paraId="0F6B0602">
            <w:pPr>
              <w:numPr>
                <w:ilvl w:val="0"/>
                <w:numId w:val="0"/>
              </w:numPr>
              <w:ind w:firstLine="482" w:firstLineChars="200"/>
              <w:jc w:val="both"/>
              <w:rPr>
                <w:rFonts w:hint="default"/>
                <w:b w:val="0"/>
                <w:bCs w:val="0"/>
                <w:szCs w:val="22"/>
                <w:lang w:val="en-US" w:eastAsia="zh-CN"/>
              </w:rPr>
            </w:pPr>
            <w:r>
              <w:rPr>
                <w:rFonts w:hint="eastAsia"/>
                <w:b/>
                <w:bCs/>
                <w:szCs w:val="22"/>
                <w:lang w:val="en-US" w:eastAsia="zh-CN"/>
              </w:rPr>
              <w:t>分装：</w:t>
            </w:r>
            <w:r>
              <w:rPr>
                <w:rFonts w:hint="eastAsia"/>
                <w:b w:val="0"/>
                <w:bCs w:val="0"/>
                <w:szCs w:val="22"/>
                <w:lang w:val="en-US" w:eastAsia="zh-CN"/>
              </w:rPr>
              <w:t>将混合均匀的物料按照产品规格进行分装，分装完即为成品，分装过程会有一定粉尘产生。</w:t>
            </w:r>
          </w:p>
          <w:p w14:paraId="710D2EA4">
            <w:pPr>
              <w:spacing w:line="240" w:lineRule="auto"/>
              <w:ind w:firstLine="0" w:firstLineChars="0"/>
              <w:jc w:val="center"/>
              <w:rPr>
                <w:b/>
                <w:bCs/>
                <w:szCs w:val="21"/>
              </w:rPr>
            </w:pPr>
            <w:r>
              <w:rPr>
                <w:b/>
                <w:bCs/>
                <w:szCs w:val="21"/>
              </w:rPr>
              <w:t>表2-</w:t>
            </w:r>
            <w:r>
              <w:rPr>
                <w:rFonts w:hint="eastAsia"/>
                <w:b/>
                <w:bCs/>
                <w:szCs w:val="21"/>
                <w:lang w:val="en-US" w:eastAsia="zh-CN"/>
              </w:rPr>
              <w:t>9</w:t>
            </w:r>
            <w:r>
              <w:rPr>
                <w:b/>
                <w:bCs/>
                <w:szCs w:val="21"/>
              </w:rPr>
              <w:t>污染源及污染因子识别一览表</w:t>
            </w:r>
          </w:p>
          <w:tbl>
            <w:tblPr>
              <w:tblStyle w:val="31"/>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79"/>
              <w:gridCol w:w="1854"/>
              <w:gridCol w:w="2235"/>
              <w:gridCol w:w="2496"/>
            </w:tblGrid>
            <w:tr w14:paraId="6652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14:paraId="66C69432">
                  <w:pPr>
                    <w:pStyle w:val="79"/>
                    <w:spacing w:line="240" w:lineRule="auto"/>
                    <w:ind w:firstLine="0" w:firstLineChars="0"/>
                    <w:jc w:val="center"/>
                    <w:rPr>
                      <w:rFonts w:ascii="Times New Roman" w:hAnsi="Times New Roman"/>
                      <w:b/>
                      <w:sz w:val="21"/>
                      <w:szCs w:val="21"/>
                    </w:rPr>
                  </w:pPr>
                  <w:r>
                    <w:rPr>
                      <w:rFonts w:ascii="Times New Roman" w:hAnsi="Times New Roman"/>
                      <w:b/>
                      <w:sz w:val="21"/>
                      <w:szCs w:val="21"/>
                    </w:rPr>
                    <w:t>时期</w:t>
                  </w:r>
                </w:p>
              </w:tc>
              <w:tc>
                <w:tcPr>
                  <w:tcW w:w="879" w:type="dxa"/>
                  <w:vAlign w:val="center"/>
                </w:tcPr>
                <w:p w14:paraId="4642703B">
                  <w:pPr>
                    <w:pStyle w:val="79"/>
                    <w:spacing w:line="240" w:lineRule="auto"/>
                    <w:ind w:firstLine="0" w:firstLineChars="0"/>
                    <w:jc w:val="center"/>
                    <w:rPr>
                      <w:rFonts w:ascii="Times New Roman" w:hAnsi="Times New Roman"/>
                      <w:b/>
                      <w:sz w:val="21"/>
                      <w:szCs w:val="21"/>
                    </w:rPr>
                  </w:pPr>
                  <w:r>
                    <w:rPr>
                      <w:rFonts w:ascii="Times New Roman" w:hAnsi="Times New Roman"/>
                      <w:b/>
                      <w:sz w:val="21"/>
                      <w:szCs w:val="21"/>
                    </w:rPr>
                    <w:t>类别</w:t>
                  </w:r>
                </w:p>
              </w:tc>
              <w:tc>
                <w:tcPr>
                  <w:tcW w:w="1854" w:type="dxa"/>
                  <w:vAlign w:val="center"/>
                </w:tcPr>
                <w:p w14:paraId="12CCDDE9">
                  <w:pPr>
                    <w:pStyle w:val="79"/>
                    <w:spacing w:line="240" w:lineRule="auto"/>
                    <w:ind w:firstLine="0" w:firstLineChars="0"/>
                    <w:jc w:val="center"/>
                    <w:rPr>
                      <w:rFonts w:ascii="Times New Roman" w:hAnsi="Times New Roman"/>
                      <w:b/>
                      <w:sz w:val="21"/>
                      <w:szCs w:val="21"/>
                    </w:rPr>
                  </w:pPr>
                  <w:r>
                    <w:rPr>
                      <w:rFonts w:ascii="Times New Roman" w:hAnsi="Times New Roman"/>
                      <w:b/>
                      <w:sz w:val="21"/>
                      <w:szCs w:val="21"/>
                    </w:rPr>
                    <w:t>污染源</w:t>
                  </w:r>
                </w:p>
              </w:tc>
              <w:tc>
                <w:tcPr>
                  <w:tcW w:w="2235" w:type="dxa"/>
                  <w:vAlign w:val="center"/>
                </w:tcPr>
                <w:p w14:paraId="707644AD">
                  <w:pPr>
                    <w:pStyle w:val="79"/>
                    <w:spacing w:line="240" w:lineRule="auto"/>
                    <w:ind w:firstLine="0" w:firstLineChars="0"/>
                    <w:jc w:val="center"/>
                    <w:rPr>
                      <w:rFonts w:ascii="Times New Roman" w:hAnsi="Times New Roman"/>
                      <w:b/>
                      <w:sz w:val="21"/>
                      <w:szCs w:val="21"/>
                    </w:rPr>
                  </w:pPr>
                  <w:r>
                    <w:rPr>
                      <w:rFonts w:ascii="Times New Roman" w:hAnsi="Times New Roman"/>
                      <w:b/>
                      <w:sz w:val="21"/>
                      <w:szCs w:val="21"/>
                    </w:rPr>
                    <w:t>污染物</w:t>
                  </w:r>
                </w:p>
              </w:tc>
              <w:tc>
                <w:tcPr>
                  <w:tcW w:w="2496" w:type="dxa"/>
                  <w:vAlign w:val="center"/>
                </w:tcPr>
                <w:p w14:paraId="07FD8735">
                  <w:pPr>
                    <w:pStyle w:val="79"/>
                    <w:spacing w:line="240" w:lineRule="auto"/>
                    <w:ind w:firstLine="0" w:firstLineChars="0"/>
                    <w:jc w:val="center"/>
                    <w:rPr>
                      <w:rFonts w:ascii="Times New Roman" w:hAnsi="Times New Roman"/>
                      <w:b/>
                      <w:sz w:val="21"/>
                      <w:szCs w:val="21"/>
                    </w:rPr>
                  </w:pPr>
                  <w:r>
                    <w:rPr>
                      <w:rFonts w:ascii="Times New Roman" w:hAnsi="Times New Roman"/>
                      <w:b/>
                      <w:sz w:val="21"/>
                      <w:szCs w:val="21"/>
                    </w:rPr>
                    <w:t>污染因子</w:t>
                  </w:r>
                </w:p>
              </w:tc>
            </w:tr>
            <w:tr w14:paraId="1927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14:paraId="3658C804">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运营期</w:t>
                  </w:r>
                </w:p>
              </w:tc>
              <w:tc>
                <w:tcPr>
                  <w:tcW w:w="879" w:type="dxa"/>
                  <w:vMerge w:val="restart"/>
                  <w:vAlign w:val="center"/>
                </w:tcPr>
                <w:p w14:paraId="3BA1278E">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废气</w:t>
                  </w:r>
                </w:p>
              </w:tc>
              <w:tc>
                <w:tcPr>
                  <w:tcW w:w="1854" w:type="dxa"/>
                  <w:vAlign w:val="center"/>
                </w:tcPr>
                <w:p w14:paraId="6117BC10">
                  <w:pPr>
                    <w:pStyle w:val="79"/>
                    <w:spacing w:line="240" w:lineRule="auto"/>
                    <w:ind w:firstLine="0" w:firstLineChars="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精炼酶投料、混合、分装</w:t>
                  </w:r>
                </w:p>
              </w:tc>
              <w:tc>
                <w:tcPr>
                  <w:tcW w:w="2235" w:type="dxa"/>
                  <w:vAlign w:val="center"/>
                </w:tcPr>
                <w:p w14:paraId="7ED0DE20">
                  <w:pPr>
                    <w:pStyle w:val="79"/>
                    <w:spacing w:line="240" w:lineRule="auto"/>
                    <w:ind w:firstLine="0" w:firstLineChars="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粉尘</w:t>
                  </w:r>
                </w:p>
              </w:tc>
              <w:tc>
                <w:tcPr>
                  <w:tcW w:w="2496" w:type="dxa"/>
                  <w:vAlign w:val="center"/>
                </w:tcPr>
                <w:p w14:paraId="7A030BFC">
                  <w:pPr>
                    <w:pStyle w:val="79"/>
                    <w:spacing w:line="240" w:lineRule="auto"/>
                    <w:ind w:firstLine="0" w:firstLineChars="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颗粒物</w:t>
                  </w:r>
                </w:p>
              </w:tc>
            </w:tr>
            <w:tr w14:paraId="5C9C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vAlign w:val="center"/>
                </w:tcPr>
                <w:p w14:paraId="1BE80EA2">
                  <w:pPr>
                    <w:pStyle w:val="79"/>
                    <w:spacing w:line="240" w:lineRule="auto"/>
                    <w:ind w:firstLine="0" w:firstLineChars="0"/>
                    <w:jc w:val="center"/>
                    <w:rPr>
                      <w:rFonts w:ascii="Times New Roman" w:hAnsi="Times New Roman"/>
                      <w:bCs/>
                      <w:sz w:val="21"/>
                      <w:szCs w:val="21"/>
                    </w:rPr>
                  </w:pPr>
                </w:p>
              </w:tc>
              <w:tc>
                <w:tcPr>
                  <w:tcW w:w="879" w:type="dxa"/>
                  <w:vMerge w:val="continue"/>
                  <w:vAlign w:val="center"/>
                </w:tcPr>
                <w:p w14:paraId="5B8FD802">
                  <w:pPr>
                    <w:pStyle w:val="79"/>
                    <w:spacing w:line="240" w:lineRule="auto"/>
                    <w:ind w:firstLine="0" w:firstLineChars="0"/>
                    <w:jc w:val="center"/>
                    <w:rPr>
                      <w:rFonts w:ascii="Times New Roman" w:hAnsi="Times New Roman"/>
                      <w:bCs/>
                      <w:sz w:val="21"/>
                      <w:szCs w:val="21"/>
                    </w:rPr>
                  </w:pPr>
                </w:p>
              </w:tc>
              <w:tc>
                <w:tcPr>
                  <w:tcW w:w="1854" w:type="dxa"/>
                  <w:shd w:val="clear" w:color="auto" w:fill="auto"/>
                  <w:vAlign w:val="center"/>
                </w:tcPr>
                <w:p w14:paraId="3D7A6369">
                  <w:pPr>
                    <w:pStyle w:val="79"/>
                    <w:spacing w:line="240" w:lineRule="auto"/>
                    <w:ind w:firstLine="0" w:firstLineChars="0"/>
                    <w:jc w:val="center"/>
                    <w:rPr>
                      <w:rFonts w:hint="default"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val="en-US" w:eastAsia="zh-CN"/>
                    </w:rPr>
                    <w:t>有机助剂搅拌、分装</w:t>
                  </w:r>
                </w:p>
              </w:tc>
              <w:tc>
                <w:tcPr>
                  <w:tcW w:w="2235" w:type="dxa"/>
                  <w:shd w:val="clear" w:color="auto" w:fill="auto"/>
                  <w:vAlign w:val="center"/>
                </w:tcPr>
                <w:p w14:paraId="100E64F5">
                  <w:pPr>
                    <w:pStyle w:val="79"/>
                    <w:spacing w:line="240" w:lineRule="auto"/>
                    <w:ind w:firstLine="0" w:firstLineChars="0"/>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val="en-US" w:eastAsia="zh-CN"/>
                    </w:rPr>
                    <w:t>有机废气</w:t>
                  </w:r>
                </w:p>
              </w:tc>
              <w:tc>
                <w:tcPr>
                  <w:tcW w:w="2496" w:type="dxa"/>
                  <w:shd w:val="clear" w:color="auto" w:fill="auto"/>
                  <w:vAlign w:val="center"/>
                </w:tcPr>
                <w:p w14:paraId="250E10A3">
                  <w:pPr>
                    <w:pStyle w:val="79"/>
                    <w:spacing w:line="240" w:lineRule="auto"/>
                    <w:ind w:firstLine="0" w:firstLineChars="0"/>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val="en-US" w:eastAsia="zh-CN"/>
                    </w:rPr>
                    <w:t>非甲烷总烃</w:t>
                  </w:r>
                </w:p>
              </w:tc>
            </w:tr>
            <w:tr w14:paraId="5913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vAlign w:val="center"/>
                </w:tcPr>
                <w:p w14:paraId="76EF9FF3">
                  <w:pPr>
                    <w:pStyle w:val="79"/>
                    <w:spacing w:line="240" w:lineRule="auto"/>
                    <w:ind w:firstLine="0" w:firstLineChars="0"/>
                    <w:jc w:val="center"/>
                    <w:rPr>
                      <w:rFonts w:ascii="Times New Roman" w:hAnsi="Times New Roman"/>
                      <w:bCs/>
                      <w:sz w:val="21"/>
                      <w:szCs w:val="21"/>
                    </w:rPr>
                  </w:pPr>
                </w:p>
              </w:tc>
              <w:tc>
                <w:tcPr>
                  <w:tcW w:w="879" w:type="dxa"/>
                  <w:vAlign w:val="center"/>
                </w:tcPr>
                <w:p w14:paraId="65699DE6">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废水</w:t>
                  </w:r>
                </w:p>
              </w:tc>
              <w:tc>
                <w:tcPr>
                  <w:tcW w:w="1854" w:type="dxa"/>
                  <w:vAlign w:val="center"/>
                </w:tcPr>
                <w:p w14:paraId="1EB9952E">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办公生活</w:t>
                  </w:r>
                </w:p>
              </w:tc>
              <w:tc>
                <w:tcPr>
                  <w:tcW w:w="2235" w:type="dxa"/>
                  <w:vAlign w:val="center"/>
                </w:tcPr>
                <w:p w14:paraId="66CF524A">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员工生活污水</w:t>
                  </w:r>
                </w:p>
              </w:tc>
              <w:tc>
                <w:tcPr>
                  <w:tcW w:w="2496" w:type="dxa"/>
                  <w:vAlign w:val="center"/>
                </w:tcPr>
                <w:p w14:paraId="3D188663">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pH、COD</w:t>
                  </w:r>
                  <w:r>
                    <w:rPr>
                      <w:rFonts w:ascii="Times New Roman" w:hAnsi="Times New Roman"/>
                      <w:bCs/>
                      <w:sz w:val="21"/>
                      <w:szCs w:val="21"/>
                      <w:vertAlign w:val="subscript"/>
                    </w:rPr>
                    <w:t>Cr</w:t>
                  </w:r>
                  <w:r>
                    <w:rPr>
                      <w:rFonts w:ascii="Times New Roman" w:hAnsi="Times New Roman"/>
                      <w:bCs/>
                      <w:sz w:val="21"/>
                      <w:szCs w:val="21"/>
                    </w:rPr>
                    <w:t>、氨氮、BOD</w:t>
                  </w:r>
                  <w:r>
                    <w:rPr>
                      <w:rFonts w:ascii="Times New Roman" w:hAnsi="Times New Roman"/>
                      <w:bCs/>
                      <w:sz w:val="21"/>
                      <w:szCs w:val="21"/>
                      <w:vertAlign w:val="subscript"/>
                    </w:rPr>
                    <w:t>5</w:t>
                  </w:r>
                  <w:r>
                    <w:rPr>
                      <w:rFonts w:ascii="Times New Roman" w:hAnsi="Times New Roman"/>
                      <w:bCs/>
                      <w:sz w:val="21"/>
                      <w:szCs w:val="21"/>
                    </w:rPr>
                    <w:t>、SS</w:t>
                  </w:r>
                </w:p>
              </w:tc>
            </w:tr>
            <w:tr w14:paraId="3E1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vAlign w:val="center"/>
                </w:tcPr>
                <w:p w14:paraId="31F3736A">
                  <w:pPr>
                    <w:pStyle w:val="79"/>
                    <w:spacing w:line="240" w:lineRule="auto"/>
                    <w:ind w:firstLine="0" w:firstLineChars="0"/>
                    <w:jc w:val="center"/>
                    <w:rPr>
                      <w:rFonts w:ascii="Times New Roman" w:hAnsi="Times New Roman"/>
                      <w:bCs/>
                      <w:sz w:val="21"/>
                      <w:szCs w:val="21"/>
                    </w:rPr>
                  </w:pPr>
                </w:p>
              </w:tc>
              <w:tc>
                <w:tcPr>
                  <w:tcW w:w="879" w:type="dxa"/>
                  <w:vAlign w:val="center"/>
                </w:tcPr>
                <w:p w14:paraId="727FC2EB">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噪声</w:t>
                  </w:r>
                </w:p>
              </w:tc>
              <w:tc>
                <w:tcPr>
                  <w:tcW w:w="1854" w:type="dxa"/>
                  <w:vAlign w:val="center"/>
                </w:tcPr>
                <w:p w14:paraId="2CF089AF">
                  <w:pPr>
                    <w:pStyle w:val="79"/>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lang w:val="en-US" w:eastAsia="zh-CN"/>
                    </w:rPr>
                    <w:t>送料泵、搅拌罐</w:t>
                  </w:r>
                  <w:r>
                    <w:rPr>
                      <w:rFonts w:ascii="Times New Roman" w:hAnsi="Times New Roman"/>
                      <w:bCs/>
                      <w:sz w:val="21"/>
                      <w:szCs w:val="21"/>
                    </w:rPr>
                    <w:t>等设备噪声</w:t>
                  </w:r>
                </w:p>
              </w:tc>
              <w:tc>
                <w:tcPr>
                  <w:tcW w:w="2235" w:type="dxa"/>
                  <w:vAlign w:val="center"/>
                </w:tcPr>
                <w:p w14:paraId="1A4A1577">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噪声</w:t>
                  </w:r>
                </w:p>
              </w:tc>
              <w:tc>
                <w:tcPr>
                  <w:tcW w:w="2496" w:type="dxa"/>
                  <w:vAlign w:val="center"/>
                </w:tcPr>
                <w:p w14:paraId="48591541">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Leq（A）</w:t>
                  </w:r>
                </w:p>
              </w:tc>
            </w:tr>
            <w:tr w14:paraId="3473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vAlign w:val="center"/>
                </w:tcPr>
                <w:p w14:paraId="265980AF">
                  <w:pPr>
                    <w:pStyle w:val="79"/>
                    <w:spacing w:line="240" w:lineRule="auto"/>
                    <w:ind w:firstLine="0" w:firstLineChars="0"/>
                    <w:jc w:val="center"/>
                    <w:rPr>
                      <w:rFonts w:ascii="Times New Roman" w:hAnsi="Times New Roman"/>
                      <w:bCs/>
                      <w:sz w:val="21"/>
                      <w:szCs w:val="21"/>
                    </w:rPr>
                  </w:pPr>
                </w:p>
              </w:tc>
              <w:tc>
                <w:tcPr>
                  <w:tcW w:w="879" w:type="dxa"/>
                  <w:vMerge w:val="restart"/>
                  <w:vAlign w:val="center"/>
                </w:tcPr>
                <w:p w14:paraId="317C99D9">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固废</w:t>
                  </w:r>
                </w:p>
              </w:tc>
              <w:tc>
                <w:tcPr>
                  <w:tcW w:w="1854" w:type="dxa"/>
                  <w:vAlign w:val="center"/>
                </w:tcPr>
                <w:p w14:paraId="27C26FDF">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员工生活</w:t>
                  </w:r>
                </w:p>
              </w:tc>
              <w:tc>
                <w:tcPr>
                  <w:tcW w:w="2235" w:type="dxa"/>
                  <w:vAlign w:val="center"/>
                </w:tcPr>
                <w:p w14:paraId="0D325761">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生活垃圾</w:t>
                  </w:r>
                </w:p>
              </w:tc>
              <w:tc>
                <w:tcPr>
                  <w:tcW w:w="2496" w:type="dxa"/>
                  <w:vAlign w:val="center"/>
                </w:tcPr>
                <w:p w14:paraId="42955004">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w:t>
                  </w:r>
                </w:p>
              </w:tc>
            </w:tr>
            <w:tr w14:paraId="0FB7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vAlign w:val="center"/>
                </w:tcPr>
                <w:p w14:paraId="2EC53D79">
                  <w:pPr>
                    <w:pStyle w:val="79"/>
                    <w:spacing w:line="240" w:lineRule="auto"/>
                    <w:ind w:firstLine="0" w:firstLineChars="0"/>
                    <w:jc w:val="center"/>
                    <w:rPr>
                      <w:rFonts w:ascii="Times New Roman" w:hAnsi="Times New Roman"/>
                      <w:bCs/>
                      <w:sz w:val="21"/>
                      <w:szCs w:val="21"/>
                    </w:rPr>
                  </w:pPr>
                </w:p>
              </w:tc>
              <w:tc>
                <w:tcPr>
                  <w:tcW w:w="879" w:type="dxa"/>
                  <w:vMerge w:val="continue"/>
                  <w:vAlign w:val="center"/>
                </w:tcPr>
                <w:p w14:paraId="39F4ACB5">
                  <w:pPr>
                    <w:pStyle w:val="79"/>
                    <w:spacing w:line="240" w:lineRule="auto"/>
                    <w:ind w:firstLine="0" w:firstLineChars="0"/>
                    <w:jc w:val="center"/>
                    <w:rPr>
                      <w:rFonts w:ascii="Times New Roman" w:hAnsi="Times New Roman"/>
                      <w:bCs/>
                      <w:sz w:val="21"/>
                      <w:szCs w:val="21"/>
                    </w:rPr>
                  </w:pPr>
                </w:p>
              </w:tc>
              <w:tc>
                <w:tcPr>
                  <w:tcW w:w="1854" w:type="dxa"/>
                  <w:vAlign w:val="center"/>
                </w:tcPr>
                <w:p w14:paraId="3391AE28">
                  <w:pPr>
                    <w:pStyle w:val="79"/>
                    <w:spacing w:line="240" w:lineRule="auto"/>
                    <w:ind w:firstLine="0" w:firstLineChars="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原料包装</w:t>
                  </w:r>
                </w:p>
              </w:tc>
              <w:tc>
                <w:tcPr>
                  <w:tcW w:w="2235" w:type="dxa"/>
                  <w:vAlign w:val="center"/>
                </w:tcPr>
                <w:p w14:paraId="267192F3">
                  <w:pPr>
                    <w:pStyle w:val="79"/>
                    <w:spacing w:line="240" w:lineRule="auto"/>
                    <w:ind w:firstLine="0" w:firstLineChars="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废原料包装桶、废包装袋、废溶剂桶</w:t>
                  </w:r>
                </w:p>
              </w:tc>
              <w:tc>
                <w:tcPr>
                  <w:tcW w:w="2496" w:type="dxa"/>
                  <w:vAlign w:val="center"/>
                </w:tcPr>
                <w:p w14:paraId="45B37EC8">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w:t>
                  </w:r>
                </w:p>
              </w:tc>
            </w:tr>
            <w:tr w14:paraId="7052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vAlign w:val="center"/>
                </w:tcPr>
                <w:p w14:paraId="3DCD42E2">
                  <w:pPr>
                    <w:pStyle w:val="79"/>
                    <w:spacing w:line="240" w:lineRule="auto"/>
                    <w:ind w:firstLine="0" w:firstLineChars="0"/>
                    <w:jc w:val="center"/>
                    <w:rPr>
                      <w:rFonts w:ascii="Times New Roman" w:hAnsi="Times New Roman"/>
                      <w:bCs/>
                      <w:sz w:val="21"/>
                      <w:szCs w:val="21"/>
                    </w:rPr>
                  </w:pPr>
                </w:p>
              </w:tc>
              <w:tc>
                <w:tcPr>
                  <w:tcW w:w="879" w:type="dxa"/>
                  <w:vMerge w:val="continue"/>
                  <w:vAlign w:val="center"/>
                </w:tcPr>
                <w:p w14:paraId="1E6B1F37">
                  <w:pPr>
                    <w:pStyle w:val="79"/>
                    <w:spacing w:line="240" w:lineRule="auto"/>
                    <w:ind w:firstLine="0" w:firstLineChars="0"/>
                    <w:jc w:val="center"/>
                    <w:rPr>
                      <w:rFonts w:ascii="Times New Roman" w:hAnsi="Times New Roman"/>
                      <w:bCs/>
                      <w:sz w:val="21"/>
                      <w:szCs w:val="21"/>
                    </w:rPr>
                  </w:pPr>
                </w:p>
              </w:tc>
              <w:tc>
                <w:tcPr>
                  <w:tcW w:w="1854" w:type="dxa"/>
                  <w:vAlign w:val="center"/>
                </w:tcPr>
                <w:p w14:paraId="18A5D426">
                  <w:pPr>
                    <w:pStyle w:val="79"/>
                    <w:spacing w:line="240" w:lineRule="auto"/>
                    <w:ind w:firstLine="0" w:firstLineChars="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废气处理</w:t>
                  </w:r>
                </w:p>
              </w:tc>
              <w:tc>
                <w:tcPr>
                  <w:tcW w:w="2235" w:type="dxa"/>
                  <w:vAlign w:val="center"/>
                </w:tcPr>
                <w:p w14:paraId="761FBE96">
                  <w:pPr>
                    <w:pStyle w:val="79"/>
                    <w:spacing w:line="240" w:lineRule="auto"/>
                    <w:ind w:firstLine="0" w:firstLineChars="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废活性炭</w:t>
                  </w:r>
                </w:p>
              </w:tc>
              <w:tc>
                <w:tcPr>
                  <w:tcW w:w="2496" w:type="dxa"/>
                  <w:vAlign w:val="center"/>
                </w:tcPr>
                <w:p w14:paraId="177FA910">
                  <w:pPr>
                    <w:pStyle w:val="79"/>
                    <w:spacing w:line="240" w:lineRule="auto"/>
                    <w:ind w:firstLine="0" w:firstLineChars="0"/>
                    <w:jc w:val="center"/>
                    <w:rPr>
                      <w:rFonts w:ascii="Times New Roman" w:hAnsi="Times New Roman"/>
                      <w:bCs/>
                      <w:sz w:val="21"/>
                      <w:szCs w:val="21"/>
                    </w:rPr>
                  </w:pPr>
                  <w:r>
                    <w:rPr>
                      <w:rFonts w:ascii="Times New Roman" w:hAnsi="Times New Roman"/>
                      <w:bCs/>
                      <w:sz w:val="21"/>
                      <w:szCs w:val="21"/>
                    </w:rPr>
                    <w:t>/</w:t>
                  </w:r>
                </w:p>
              </w:tc>
            </w:tr>
            <w:tr w14:paraId="7C54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vAlign w:val="center"/>
                </w:tcPr>
                <w:p w14:paraId="20E0DC17">
                  <w:pPr>
                    <w:pStyle w:val="79"/>
                    <w:spacing w:line="240" w:lineRule="auto"/>
                    <w:ind w:firstLine="0" w:firstLineChars="0"/>
                    <w:jc w:val="center"/>
                    <w:rPr>
                      <w:rFonts w:ascii="Times New Roman" w:hAnsi="Times New Roman"/>
                      <w:bCs/>
                      <w:sz w:val="21"/>
                      <w:szCs w:val="21"/>
                    </w:rPr>
                  </w:pPr>
                </w:p>
              </w:tc>
              <w:tc>
                <w:tcPr>
                  <w:tcW w:w="879" w:type="dxa"/>
                  <w:vMerge w:val="continue"/>
                  <w:vAlign w:val="center"/>
                </w:tcPr>
                <w:p w14:paraId="5A1819A8">
                  <w:pPr>
                    <w:pStyle w:val="79"/>
                    <w:spacing w:line="240" w:lineRule="auto"/>
                    <w:ind w:firstLine="0" w:firstLineChars="0"/>
                    <w:jc w:val="center"/>
                    <w:rPr>
                      <w:rFonts w:ascii="Times New Roman" w:hAnsi="Times New Roman"/>
                      <w:bCs/>
                      <w:sz w:val="21"/>
                      <w:szCs w:val="21"/>
                    </w:rPr>
                  </w:pPr>
                </w:p>
              </w:tc>
              <w:tc>
                <w:tcPr>
                  <w:tcW w:w="1854" w:type="dxa"/>
                  <w:vAlign w:val="center"/>
                </w:tcPr>
                <w:p w14:paraId="06E68E63">
                  <w:pPr>
                    <w:pStyle w:val="79"/>
                    <w:spacing w:line="240" w:lineRule="auto"/>
                    <w:ind w:firstLine="0" w:firstLineChars="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设备保养维护</w:t>
                  </w:r>
                </w:p>
              </w:tc>
              <w:tc>
                <w:tcPr>
                  <w:tcW w:w="2235" w:type="dxa"/>
                  <w:vAlign w:val="center"/>
                </w:tcPr>
                <w:p w14:paraId="2A03B4E8">
                  <w:pPr>
                    <w:pStyle w:val="79"/>
                    <w:spacing w:line="240" w:lineRule="auto"/>
                    <w:ind w:firstLine="0" w:firstLineChars="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废机油、废机油桶</w:t>
                  </w:r>
                </w:p>
              </w:tc>
              <w:tc>
                <w:tcPr>
                  <w:tcW w:w="2496" w:type="dxa"/>
                  <w:vAlign w:val="center"/>
                </w:tcPr>
                <w:p w14:paraId="1E40CA92">
                  <w:pPr>
                    <w:pStyle w:val="79"/>
                    <w:spacing w:line="240" w:lineRule="auto"/>
                    <w:ind w:firstLine="0" w:firstLineChars="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w:t>
                  </w:r>
                </w:p>
              </w:tc>
            </w:tr>
          </w:tbl>
          <w:p w14:paraId="2C1836A4">
            <w:pPr>
              <w:adjustRightInd w:val="0"/>
              <w:snapToGrid w:val="0"/>
              <w:spacing w:line="240" w:lineRule="auto"/>
              <w:ind w:firstLine="480"/>
              <w:rPr>
                <w:b/>
                <w:bCs/>
                <w:szCs w:val="22"/>
              </w:rPr>
            </w:pPr>
          </w:p>
        </w:tc>
      </w:tr>
      <w:tr w14:paraId="46419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5" w:hRule="atLeast"/>
          <w:jc w:val="center"/>
        </w:trPr>
        <w:tc>
          <w:tcPr>
            <w:tcW w:w="494" w:type="dxa"/>
            <w:vAlign w:val="center"/>
          </w:tcPr>
          <w:p w14:paraId="372AB68F">
            <w:pPr>
              <w:autoSpaceDE w:val="0"/>
              <w:autoSpaceDN w:val="0"/>
              <w:adjustRightInd w:val="0"/>
              <w:snapToGrid w:val="0"/>
              <w:spacing w:line="240" w:lineRule="auto"/>
              <w:ind w:firstLine="0" w:firstLineChars="0"/>
              <w:rPr>
                <w:sz w:val="28"/>
                <w:szCs w:val="28"/>
              </w:rPr>
            </w:pPr>
            <w:r>
              <w:rPr>
                <w:kern w:val="0"/>
              </w:rPr>
              <w:t>与项目有关的原有环境污染问题</w:t>
            </w:r>
          </w:p>
        </w:tc>
        <w:tc>
          <w:tcPr>
            <w:tcW w:w="8566" w:type="dxa"/>
            <w:vAlign w:val="top"/>
          </w:tcPr>
          <w:p w14:paraId="0C7B94D0">
            <w:pPr>
              <w:adjustRightInd w:val="0"/>
              <w:snapToGrid w:val="0"/>
              <w:spacing w:line="300" w:lineRule="auto"/>
              <w:ind w:firstLine="482"/>
              <w:rPr>
                <w:b/>
                <w:bCs/>
                <w:szCs w:val="22"/>
              </w:rPr>
            </w:pPr>
            <w:r>
              <w:rPr>
                <w:b/>
                <w:bCs/>
                <w:szCs w:val="22"/>
              </w:rPr>
              <w:t>本项目原有污染源情况</w:t>
            </w:r>
          </w:p>
          <w:p w14:paraId="282453BA">
            <w:pPr>
              <w:adjustRightInd w:val="0"/>
              <w:snapToGrid w:val="0"/>
              <w:spacing w:line="300" w:lineRule="auto"/>
              <w:ind w:firstLine="480"/>
              <w:rPr>
                <w:szCs w:val="22"/>
              </w:rPr>
            </w:pPr>
            <w:r>
              <w:rPr>
                <w:szCs w:val="22"/>
              </w:rPr>
              <w:t>本项目为新建项目，租赁现有厂房进行营业，项目所在场地无原有污染问题。</w:t>
            </w:r>
          </w:p>
        </w:tc>
      </w:tr>
    </w:tbl>
    <w:p w14:paraId="3037FE40">
      <w:pPr>
        <w:pStyle w:val="26"/>
        <w:jc w:val="center"/>
        <w:rPr>
          <w:rFonts w:ascii="Times New Roman" w:hAnsi="Times New Roman" w:eastAsia="黑体"/>
          <w:snapToGrid w:val="0"/>
          <w:sz w:val="36"/>
          <w:szCs w:val="36"/>
        </w:rPr>
        <w:sectPr>
          <w:footerReference r:id="rId12" w:type="default"/>
          <w:pgSz w:w="11906" w:h="16838"/>
          <w:pgMar w:top="1417" w:right="1531" w:bottom="1417"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00F0CA87">
      <w:pPr>
        <w:pStyle w:val="26"/>
        <w:adjustRightInd w:val="0"/>
        <w:snapToGrid w:val="0"/>
        <w:spacing w:before="0" w:beforeAutospacing="0" w:after="0" w:afterAutospacing="0" w:line="14" w:lineRule="auto"/>
        <w:ind w:firstLine="600"/>
        <w:jc w:val="center"/>
        <w:rPr>
          <w:rFonts w:ascii="Times New Roman" w:hAnsi="Times New Roman" w:eastAsia="黑体"/>
          <w:snapToGrid w:val="0"/>
          <w:sz w:val="30"/>
          <w:szCs w:val="30"/>
        </w:rPr>
      </w:pPr>
    </w:p>
    <w:p w14:paraId="33A78B61">
      <w:pPr>
        <w:pStyle w:val="2"/>
        <w:adjustRightInd w:val="0"/>
        <w:spacing w:line="300" w:lineRule="auto"/>
        <w:ind w:left="0" w:firstLine="0" w:firstLineChars="0"/>
        <w:rPr>
          <w:color w:val="auto"/>
          <w:sz w:val="28"/>
          <w:szCs w:val="28"/>
        </w:rPr>
      </w:pPr>
      <w:bookmarkStart w:id="19" w:name="_Toc31181"/>
      <w:bookmarkStart w:id="20" w:name="_Toc5922"/>
      <w:r>
        <w:rPr>
          <w:color w:val="auto"/>
          <w:sz w:val="28"/>
          <w:szCs w:val="28"/>
        </w:rPr>
        <w:t>三、区域环境质量现状、环境保护目标及评价标准</w:t>
      </w:r>
      <w:bookmarkEnd w:id="19"/>
      <w:bookmarkEnd w:id="20"/>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386"/>
      </w:tblGrid>
      <w:tr w14:paraId="28C8E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675" w:type="dxa"/>
            <w:vAlign w:val="center"/>
          </w:tcPr>
          <w:p w14:paraId="1E69A00A">
            <w:pPr>
              <w:adjustRightInd w:val="0"/>
              <w:snapToGrid w:val="0"/>
              <w:spacing w:line="240" w:lineRule="auto"/>
              <w:ind w:firstLine="0" w:firstLineChars="0"/>
              <w:jc w:val="center"/>
              <w:rPr>
                <w:kern w:val="0"/>
                <w:szCs w:val="21"/>
              </w:rPr>
            </w:pPr>
            <w:r>
              <w:rPr>
                <w:b/>
                <w:bCs/>
                <w:kern w:val="0"/>
                <w:sz w:val="28"/>
                <w:szCs w:val="28"/>
              </w:rPr>
              <w:t>区域环境质量现状</w:t>
            </w:r>
          </w:p>
        </w:tc>
        <w:tc>
          <w:tcPr>
            <w:tcW w:w="8386" w:type="dxa"/>
            <w:vAlign w:val="center"/>
          </w:tcPr>
          <w:p w14:paraId="4A5B84B8">
            <w:pPr>
              <w:adjustRightInd w:val="0"/>
              <w:snapToGrid w:val="0"/>
              <w:spacing w:line="300" w:lineRule="auto"/>
              <w:ind w:firstLine="482"/>
              <w:rPr>
                <w:b/>
                <w:bCs/>
                <w:szCs w:val="32"/>
              </w:rPr>
            </w:pPr>
            <w:r>
              <w:rPr>
                <w:b/>
                <w:bCs/>
                <w:szCs w:val="32"/>
              </w:rPr>
              <w:t>1、项目所在区域达标判断</w:t>
            </w:r>
          </w:p>
          <w:p w14:paraId="71FB5783">
            <w:pPr>
              <w:adjustRightInd w:val="0"/>
              <w:snapToGrid w:val="0"/>
              <w:spacing w:line="300" w:lineRule="auto"/>
              <w:ind w:firstLine="480"/>
              <w:rPr>
                <w:b/>
                <w:bCs/>
                <w:kern w:val="0"/>
                <w:szCs w:val="22"/>
              </w:rPr>
            </w:pPr>
            <w:r>
              <w:rPr>
                <w:rFonts w:hint="eastAsia"/>
                <w:b/>
                <w:bCs/>
                <w:kern w:val="0"/>
                <w:szCs w:val="22"/>
              </w:rPr>
              <w:t>（1）判定达标区</w:t>
            </w:r>
          </w:p>
          <w:p w14:paraId="10FD6BAF">
            <w:pPr>
              <w:adjustRightInd w:val="0"/>
              <w:snapToGrid w:val="0"/>
              <w:spacing w:line="360" w:lineRule="auto"/>
              <w:ind w:firstLine="480"/>
              <w:rPr>
                <w:kern w:val="0"/>
                <w:szCs w:val="22"/>
              </w:rPr>
            </w:pPr>
            <w:r>
              <w:rPr>
                <w:kern w:val="0"/>
                <w:szCs w:val="22"/>
              </w:rPr>
              <w:t>根据《汕头市环境空气质量功能区划调整方案（2023年）》，本项目位于汕头市环境空气质量二类功能区，见附图</w:t>
            </w:r>
            <w:r>
              <w:rPr>
                <w:rFonts w:hint="eastAsia"/>
                <w:kern w:val="0"/>
                <w:szCs w:val="22"/>
                <w:lang w:val="en-US" w:eastAsia="zh-CN"/>
              </w:rPr>
              <w:t>7</w:t>
            </w:r>
            <w:r>
              <w:rPr>
                <w:kern w:val="0"/>
                <w:szCs w:val="22"/>
              </w:rPr>
              <w:t>。为了解本项目所在区域环境空气质量现状，引用《2023年汕头市生态环境公报》中2023年汕头市空气质量监测数据及内容进行评价，见表3-1，项目所在区域主要大气污染物浓度均满足《环境空气质量标准》（GB3095-2012）及其修改单中二级标准要求，项目所在区域属于达标区。</w:t>
            </w:r>
          </w:p>
          <w:p w14:paraId="512A5083">
            <w:pPr>
              <w:spacing w:line="240" w:lineRule="auto"/>
              <w:ind w:firstLine="0" w:firstLineChars="0"/>
              <w:jc w:val="center"/>
              <w:rPr>
                <w:b/>
                <w:bCs/>
                <w:szCs w:val="21"/>
              </w:rPr>
            </w:pPr>
            <w:r>
              <w:rPr>
                <w:b/>
                <w:bCs/>
                <w:szCs w:val="21"/>
              </w:rPr>
              <w:t>表3-1区域空气质量现状评价表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560"/>
              <w:gridCol w:w="1838"/>
              <w:gridCol w:w="1543"/>
              <w:gridCol w:w="1139"/>
            </w:tblGrid>
            <w:tr w14:paraId="208E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noWrap/>
                  <w:vAlign w:val="center"/>
                </w:tcPr>
                <w:p w14:paraId="3A4AA5F0">
                  <w:pPr>
                    <w:widowControl/>
                    <w:tabs>
                      <w:tab w:val="left" w:pos="780"/>
                    </w:tabs>
                    <w:autoSpaceDE w:val="0"/>
                    <w:autoSpaceDN w:val="0"/>
                    <w:adjustRightInd w:val="0"/>
                    <w:snapToGrid w:val="0"/>
                    <w:spacing w:line="240" w:lineRule="auto"/>
                    <w:ind w:firstLine="0" w:firstLineChars="0"/>
                    <w:jc w:val="center"/>
                    <w:textAlignment w:val="baseline"/>
                    <w:outlineLvl w:val="1"/>
                    <w:rPr>
                      <w:bCs/>
                      <w:kern w:val="24"/>
                      <w:sz w:val="21"/>
                      <w:szCs w:val="21"/>
                    </w:rPr>
                  </w:pPr>
                  <w:r>
                    <w:rPr>
                      <w:bCs/>
                      <w:kern w:val="24"/>
                      <w:sz w:val="21"/>
                      <w:szCs w:val="21"/>
                    </w:rPr>
                    <w:t>污染物</w:t>
                  </w:r>
                </w:p>
              </w:tc>
              <w:tc>
                <w:tcPr>
                  <w:tcW w:w="1568" w:type="pct"/>
                  <w:noWrap/>
                  <w:vAlign w:val="center"/>
                </w:tcPr>
                <w:p w14:paraId="3DF62A05">
                  <w:pPr>
                    <w:widowControl/>
                    <w:tabs>
                      <w:tab w:val="left" w:pos="780"/>
                    </w:tabs>
                    <w:autoSpaceDE w:val="0"/>
                    <w:autoSpaceDN w:val="0"/>
                    <w:adjustRightInd w:val="0"/>
                    <w:snapToGrid w:val="0"/>
                    <w:spacing w:line="240" w:lineRule="auto"/>
                    <w:ind w:firstLine="0" w:firstLineChars="0"/>
                    <w:jc w:val="center"/>
                    <w:textAlignment w:val="baseline"/>
                    <w:outlineLvl w:val="1"/>
                    <w:rPr>
                      <w:bCs/>
                      <w:kern w:val="24"/>
                      <w:sz w:val="21"/>
                      <w:szCs w:val="21"/>
                    </w:rPr>
                  </w:pPr>
                  <w:r>
                    <w:rPr>
                      <w:bCs/>
                      <w:kern w:val="24"/>
                      <w:sz w:val="21"/>
                      <w:szCs w:val="21"/>
                    </w:rPr>
                    <w:t>年评价指标</w:t>
                  </w:r>
                </w:p>
              </w:tc>
              <w:tc>
                <w:tcPr>
                  <w:tcW w:w="1126" w:type="pct"/>
                  <w:noWrap/>
                  <w:vAlign w:val="center"/>
                </w:tcPr>
                <w:p w14:paraId="40FAD4D0">
                  <w:pPr>
                    <w:widowControl/>
                    <w:tabs>
                      <w:tab w:val="left" w:pos="780"/>
                    </w:tabs>
                    <w:autoSpaceDE w:val="0"/>
                    <w:autoSpaceDN w:val="0"/>
                    <w:adjustRightInd w:val="0"/>
                    <w:snapToGrid w:val="0"/>
                    <w:spacing w:line="240" w:lineRule="auto"/>
                    <w:ind w:firstLine="0" w:firstLineChars="0"/>
                    <w:jc w:val="center"/>
                    <w:textAlignment w:val="baseline"/>
                    <w:outlineLvl w:val="1"/>
                    <w:rPr>
                      <w:bCs/>
                      <w:kern w:val="24"/>
                      <w:sz w:val="21"/>
                      <w:szCs w:val="21"/>
                    </w:rPr>
                  </w:pPr>
                  <w:r>
                    <w:rPr>
                      <w:bCs/>
                      <w:kern w:val="24"/>
                      <w:sz w:val="21"/>
                      <w:szCs w:val="21"/>
                    </w:rPr>
                    <w:t>现状浓度（μg/m</w:t>
                  </w:r>
                  <w:r>
                    <w:rPr>
                      <w:bCs/>
                      <w:kern w:val="24"/>
                      <w:sz w:val="21"/>
                      <w:szCs w:val="21"/>
                      <w:vertAlign w:val="superscript"/>
                    </w:rPr>
                    <w:t>3</w:t>
                  </w:r>
                  <w:r>
                    <w:rPr>
                      <w:bCs/>
                      <w:kern w:val="24"/>
                      <w:sz w:val="21"/>
                      <w:szCs w:val="21"/>
                    </w:rPr>
                    <w:t>）</w:t>
                  </w:r>
                </w:p>
              </w:tc>
              <w:tc>
                <w:tcPr>
                  <w:tcW w:w="945" w:type="pct"/>
                  <w:noWrap/>
                  <w:vAlign w:val="center"/>
                </w:tcPr>
                <w:p w14:paraId="5C441E8E">
                  <w:pPr>
                    <w:widowControl/>
                    <w:tabs>
                      <w:tab w:val="left" w:pos="780"/>
                    </w:tabs>
                    <w:autoSpaceDE w:val="0"/>
                    <w:autoSpaceDN w:val="0"/>
                    <w:adjustRightInd w:val="0"/>
                    <w:snapToGrid w:val="0"/>
                    <w:spacing w:line="240" w:lineRule="auto"/>
                    <w:ind w:firstLine="0" w:firstLineChars="0"/>
                    <w:jc w:val="center"/>
                    <w:textAlignment w:val="baseline"/>
                    <w:outlineLvl w:val="1"/>
                    <w:rPr>
                      <w:bCs/>
                      <w:kern w:val="24"/>
                      <w:sz w:val="21"/>
                      <w:szCs w:val="21"/>
                    </w:rPr>
                  </w:pPr>
                  <w:r>
                    <w:rPr>
                      <w:bCs/>
                      <w:kern w:val="24"/>
                      <w:sz w:val="21"/>
                      <w:szCs w:val="21"/>
                    </w:rPr>
                    <w:t>标准限值（μg/m</w:t>
                  </w:r>
                  <w:r>
                    <w:rPr>
                      <w:bCs/>
                      <w:kern w:val="24"/>
                      <w:sz w:val="21"/>
                      <w:szCs w:val="21"/>
                      <w:vertAlign w:val="superscript"/>
                    </w:rPr>
                    <w:t>3</w:t>
                  </w:r>
                  <w:r>
                    <w:rPr>
                      <w:bCs/>
                      <w:kern w:val="24"/>
                      <w:sz w:val="21"/>
                      <w:szCs w:val="21"/>
                    </w:rPr>
                    <w:t>）</w:t>
                  </w:r>
                </w:p>
              </w:tc>
              <w:tc>
                <w:tcPr>
                  <w:tcW w:w="698" w:type="pct"/>
                  <w:noWrap/>
                  <w:vAlign w:val="center"/>
                </w:tcPr>
                <w:p w14:paraId="383089CD">
                  <w:pPr>
                    <w:widowControl/>
                    <w:tabs>
                      <w:tab w:val="left" w:pos="780"/>
                    </w:tabs>
                    <w:autoSpaceDE w:val="0"/>
                    <w:autoSpaceDN w:val="0"/>
                    <w:adjustRightInd w:val="0"/>
                    <w:snapToGrid w:val="0"/>
                    <w:spacing w:line="240" w:lineRule="auto"/>
                    <w:ind w:firstLine="0" w:firstLineChars="0"/>
                    <w:jc w:val="center"/>
                    <w:textAlignment w:val="baseline"/>
                    <w:outlineLvl w:val="1"/>
                    <w:rPr>
                      <w:bCs/>
                      <w:kern w:val="24"/>
                      <w:sz w:val="21"/>
                      <w:szCs w:val="21"/>
                    </w:rPr>
                  </w:pPr>
                  <w:r>
                    <w:rPr>
                      <w:bCs/>
                      <w:kern w:val="24"/>
                      <w:sz w:val="21"/>
                      <w:szCs w:val="21"/>
                    </w:rPr>
                    <w:t>达标情况</w:t>
                  </w:r>
                </w:p>
              </w:tc>
            </w:tr>
            <w:tr w14:paraId="0A91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noWrap/>
                  <w:vAlign w:val="center"/>
                </w:tcPr>
                <w:p w14:paraId="04BF7EF5">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SO</w:t>
                  </w:r>
                  <w:r>
                    <w:rPr>
                      <w:kern w:val="24"/>
                      <w:sz w:val="21"/>
                      <w:szCs w:val="21"/>
                      <w:vertAlign w:val="subscript"/>
                    </w:rPr>
                    <w:t>2</w:t>
                  </w:r>
                </w:p>
              </w:tc>
              <w:tc>
                <w:tcPr>
                  <w:tcW w:w="1568" w:type="pct"/>
                  <w:noWrap/>
                  <w:vAlign w:val="center"/>
                </w:tcPr>
                <w:p w14:paraId="52094C56">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年平均质量浓度</w:t>
                  </w:r>
                </w:p>
              </w:tc>
              <w:tc>
                <w:tcPr>
                  <w:tcW w:w="1126" w:type="pct"/>
                  <w:noWrap/>
                  <w:vAlign w:val="center"/>
                </w:tcPr>
                <w:p w14:paraId="20D05F4E">
                  <w:pPr>
                    <w:adjustRightInd w:val="0"/>
                    <w:snapToGrid w:val="0"/>
                    <w:spacing w:line="240" w:lineRule="auto"/>
                    <w:ind w:firstLine="0" w:firstLineChars="0"/>
                    <w:jc w:val="center"/>
                    <w:textAlignment w:val="center"/>
                    <w:rPr>
                      <w:sz w:val="21"/>
                      <w:szCs w:val="21"/>
                    </w:rPr>
                  </w:pPr>
                  <w:r>
                    <w:rPr>
                      <w:sz w:val="21"/>
                      <w:szCs w:val="21"/>
                    </w:rPr>
                    <w:t>8</w:t>
                  </w:r>
                </w:p>
              </w:tc>
              <w:tc>
                <w:tcPr>
                  <w:tcW w:w="945" w:type="pct"/>
                  <w:noWrap/>
                  <w:vAlign w:val="center"/>
                </w:tcPr>
                <w:p w14:paraId="384BCAE4">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60</w:t>
                  </w:r>
                </w:p>
              </w:tc>
              <w:tc>
                <w:tcPr>
                  <w:tcW w:w="698" w:type="pct"/>
                  <w:noWrap/>
                  <w:vAlign w:val="center"/>
                </w:tcPr>
                <w:p w14:paraId="14DFD95C">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达标</w:t>
                  </w:r>
                </w:p>
              </w:tc>
            </w:tr>
            <w:tr w14:paraId="43B6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noWrap/>
                  <w:vAlign w:val="center"/>
                </w:tcPr>
                <w:p w14:paraId="78FAA2AB">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NO</w:t>
                  </w:r>
                  <w:r>
                    <w:rPr>
                      <w:kern w:val="24"/>
                      <w:sz w:val="21"/>
                      <w:szCs w:val="21"/>
                      <w:vertAlign w:val="subscript"/>
                    </w:rPr>
                    <w:t>2</w:t>
                  </w:r>
                </w:p>
              </w:tc>
              <w:tc>
                <w:tcPr>
                  <w:tcW w:w="1568" w:type="pct"/>
                  <w:noWrap/>
                  <w:vAlign w:val="center"/>
                </w:tcPr>
                <w:p w14:paraId="74598788">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年平均质量浓度</w:t>
                  </w:r>
                </w:p>
              </w:tc>
              <w:tc>
                <w:tcPr>
                  <w:tcW w:w="1126" w:type="pct"/>
                  <w:noWrap/>
                  <w:vAlign w:val="center"/>
                </w:tcPr>
                <w:p w14:paraId="621228BB">
                  <w:pPr>
                    <w:adjustRightInd w:val="0"/>
                    <w:snapToGrid w:val="0"/>
                    <w:spacing w:line="240" w:lineRule="auto"/>
                    <w:ind w:firstLine="0" w:firstLineChars="0"/>
                    <w:jc w:val="center"/>
                    <w:textAlignment w:val="center"/>
                    <w:rPr>
                      <w:sz w:val="21"/>
                      <w:szCs w:val="21"/>
                    </w:rPr>
                  </w:pPr>
                  <w:r>
                    <w:rPr>
                      <w:sz w:val="21"/>
                      <w:szCs w:val="21"/>
                    </w:rPr>
                    <w:t>15</w:t>
                  </w:r>
                </w:p>
              </w:tc>
              <w:tc>
                <w:tcPr>
                  <w:tcW w:w="945" w:type="pct"/>
                  <w:noWrap/>
                  <w:vAlign w:val="center"/>
                </w:tcPr>
                <w:p w14:paraId="0EF29609">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40</w:t>
                  </w:r>
                </w:p>
              </w:tc>
              <w:tc>
                <w:tcPr>
                  <w:tcW w:w="698" w:type="pct"/>
                  <w:noWrap/>
                  <w:vAlign w:val="center"/>
                </w:tcPr>
                <w:p w14:paraId="71847953">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达标</w:t>
                  </w:r>
                </w:p>
              </w:tc>
            </w:tr>
            <w:tr w14:paraId="7CD5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noWrap/>
                  <w:vAlign w:val="center"/>
                </w:tcPr>
                <w:p w14:paraId="53D5669A">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PM</w:t>
                  </w:r>
                  <w:r>
                    <w:rPr>
                      <w:kern w:val="24"/>
                      <w:sz w:val="21"/>
                      <w:szCs w:val="21"/>
                      <w:vertAlign w:val="subscript"/>
                    </w:rPr>
                    <w:t>10</w:t>
                  </w:r>
                </w:p>
              </w:tc>
              <w:tc>
                <w:tcPr>
                  <w:tcW w:w="1568" w:type="pct"/>
                  <w:noWrap/>
                  <w:vAlign w:val="center"/>
                </w:tcPr>
                <w:p w14:paraId="283FE4A8">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年平均质量浓度</w:t>
                  </w:r>
                </w:p>
              </w:tc>
              <w:tc>
                <w:tcPr>
                  <w:tcW w:w="1126" w:type="pct"/>
                  <w:noWrap/>
                  <w:vAlign w:val="center"/>
                </w:tcPr>
                <w:p w14:paraId="65333417">
                  <w:pPr>
                    <w:adjustRightInd w:val="0"/>
                    <w:snapToGrid w:val="0"/>
                    <w:spacing w:line="240" w:lineRule="auto"/>
                    <w:ind w:firstLine="0" w:firstLineChars="0"/>
                    <w:jc w:val="center"/>
                    <w:textAlignment w:val="center"/>
                    <w:rPr>
                      <w:sz w:val="21"/>
                      <w:szCs w:val="21"/>
                    </w:rPr>
                  </w:pPr>
                  <w:r>
                    <w:rPr>
                      <w:sz w:val="21"/>
                      <w:szCs w:val="21"/>
                    </w:rPr>
                    <w:t>35</w:t>
                  </w:r>
                </w:p>
              </w:tc>
              <w:tc>
                <w:tcPr>
                  <w:tcW w:w="945" w:type="pct"/>
                  <w:noWrap/>
                  <w:vAlign w:val="center"/>
                </w:tcPr>
                <w:p w14:paraId="7E4FAF2A">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70</w:t>
                  </w:r>
                </w:p>
              </w:tc>
              <w:tc>
                <w:tcPr>
                  <w:tcW w:w="698" w:type="pct"/>
                  <w:noWrap/>
                  <w:vAlign w:val="center"/>
                </w:tcPr>
                <w:p w14:paraId="11422D0F">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达标</w:t>
                  </w:r>
                </w:p>
              </w:tc>
            </w:tr>
            <w:tr w14:paraId="6BA5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noWrap/>
                  <w:vAlign w:val="center"/>
                </w:tcPr>
                <w:p w14:paraId="2F0F4F54">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PM</w:t>
                  </w:r>
                  <w:r>
                    <w:rPr>
                      <w:kern w:val="24"/>
                      <w:sz w:val="21"/>
                      <w:szCs w:val="21"/>
                      <w:vertAlign w:val="subscript"/>
                    </w:rPr>
                    <w:t>2.5</w:t>
                  </w:r>
                </w:p>
              </w:tc>
              <w:tc>
                <w:tcPr>
                  <w:tcW w:w="1568" w:type="pct"/>
                  <w:noWrap/>
                  <w:vAlign w:val="center"/>
                </w:tcPr>
                <w:p w14:paraId="0964DCDE">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年平均质量浓度</w:t>
                  </w:r>
                </w:p>
              </w:tc>
              <w:tc>
                <w:tcPr>
                  <w:tcW w:w="1126" w:type="pct"/>
                  <w:noWrap/>
                  <w:vAlign w:val="center"/>
                </w:tcPr>
                <w:p w14:paraId="4725A077">
                  <w:pPr>
                    <w:adjustRightInd w:val="0"/>
                    <w:snapToGrid w:val="0"/>
                    <w:spacing w:line="240" w:lineRule="auto"/>
                    <w:ind w:firstLine="0" w:firstLineChars="0"/>
                    <w:jc w:val="center"/>
                    <w:textAlignment w:val="center"/>
                    <w:rPr>
                      <w:sz w:val="21"/>
                      <w:szCs w:val="21"/>
                    </w:rPr>
                  </w:pPr>
                  <w:r>
                    <w:rPr>
                      <w:sz w:val="21"/>
                      <w:szCs w:val="21"/>
                    </w:rPr>
                    <w:t>20</w:t>
                  </w:r>
                </w:p>
              </w:tc>
              <w:tc>
                <w:tcPr>
                  <w:tcW w:w="945" w:type="pct"/>
                  <w:noWrap/>
                  <w:vAlign w:val="center"/>
                </w:tcPr>
                <w:p w14:paraId="53638E52">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35</w:t>
                  </w:r>
                </w:p>
              </w:tc>
              <w:tc>
                <w:tcPr>
                  <w:tcW w:w="698" w:type="pct"/>
                  <w:noWrap/>
                  <w:vAlign w:val="center"/>
                </w:tcPr>
                <w:p w14:paraId="6E587E19">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达标</w:t>
                  </w:r>
                </w:p>
              </w:tc>
            </w:tr>
            <w:tr w14:paraId="544A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noWrap/>
                  <w:vAlign w:val="center"/>
                </w:tcPr>
                <w:p w14:paraId="097257DC">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CO</w:t>
                  </w:r>
                </w:p>
              </w:tc>
              <w:tc>
                <w:tcPr>
                  <w:tcW w:w="1568" w:type="pct"/>
                  <w:noWrap/>
                  <w:vAlign w:val="center"/>
                </w:tcPr>
                <w:p w14:paraId="15E95520">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日平均质量浓度第90百分位数</w:t>
                  </w:r>
                </w:p>
              </w:tc>
              <w:tc>
                <w:tcPr>
                  <w:tcW w:w="1126" w:type="pct"/>
                  <w:noWrap/>
                  <w:vAlign w:val="center"/>
                </w:tcPr>
                <w:p w14:paraId="2F4B207E">
                  <w:pPr>
                    <w:adjustRightInd w:val="0"/>
                    <w:snapToGrid w:val="0"/>
                    <w:spacing w:line="240" w:lineRule="auto"/>
                    <w:ind w:firstLine="0" w:firstLineChars="0"/>
                    <w:jc w:val="center"/>
                    <w:textAlignment w:val="center"/>
                    <w:rPr>
                      <w:sz w:val="21"/>
                      <w:szCs w:val="21"/>
                    </w:rPr>
                  </w:pPr>
                  <w:r>
                    <w:rPr>
                      <w:sz w:val="21"/>
                      <w:szCs w:val="21"/>
                    </w:rPr>
                    <w:t>0.9mg/m</w:t>
                  </w:r>
                  <w:r>
                    <w:rPr>
                      <w:sz w:val="21"/>
                      <w:szCs w:val="21"/>
                      <w:vertAlign w:val="superscript"/>
                    </w:rPr>
                    <w:t>3</w:t>
                  </w:r>
                </w:p>
              </w:tc>
              <w:tc>
                <w:tcPr>
                  <w:tcW w:w="945" w:type="pct"/>
                  <w:noWrap/>
                  <w:vAlign w:val="center"/>
                </w:tcPr>
                <w:p w14:paraId="0CE1ACB7">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4.0</w:t>
                  </w:r>
                  <w:r>
                    <w:rPr>
                      <w:kern w:val="24"/>
                      <w:sz w:val="21"/>
                    </w:rPr>
                    <w:t>mg/m</w:t>
                  </w:r>
                  <w:r>
                    <w:rPr>
                      <w:kern w:val="24"/>
                      <w:sz w:val="21"/>
                      <w:vertAlign w:val="superscript"/>
                    </w:rPr>
                    <w:t>3</w:t>
                  </w:r>
                </w:p>
              </w:tc>
              <w:tc>
                <w:tcPr>
                  <w:tcW w:w="698" w:type="pct"/>
                  <w:noWrap/>
                  <w:vAlign w:val="center"/>
                </w:tcPr>
                <w:p w14:paraId="74D62BD4">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达标</w:t>
                  </w:r>
                </w:p>
              </w:tc>
            </w:tr>
            <w:tr w14:paraId="60AA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noWrap/>
                  <w:vAlign w:val="center"/>
                </w:tcPr>
                <w:p w14:paraId="68C218F7">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O</w:t>
                  </w:r>
                  <w:r>
                    <w:rPr>
                      <w:kern w:val="24"/>
                      <w:sz w:val="21"/>
                      <w:szCs w:val="21"/>
                      <w:vertAlign w:val="subscript"/>
                    </w:rPr>
                    <w:t>3</w:t>
                  </w:r>
                </w:p>
              </w:tc>
              <w:tc>
                <w:tcPr>
                  <w:tcW w:w="1568" w:type="pct"/>
                  <w:noWrap/>
                  <w:vAlign w:val="center"/>
                </w:tcPr>
                <w:p w14:paraId="54698E18">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日最大8小时平均浓度第90百分位数</w:t>
                  </w:r>
                </w:p>
              </w:tc>
              <w:tc>
                <w:tcPr>
                  <w:tcW w:w="1126" w:type="pct"/>
                  <w:noWrap/>
                  <w:vAlign w:val="center"/>
                </w:tcPr>
                <w:p w14:paraId="6B166E6E">
                  <w:pPr>
                    <w:adjustRightInd w:val="0"/>
                    <w:snapToGrid w:val="0"/>
                    <w:spacing w:line="240" w:lineRule="auto"/>
                    <w:ind w:firstLine="0" w:firstLineChars="0"/>
                    <w:jc w:val="center"/>
                    <w:textAlignment w:val="center"/>
                    <w:rPr>
                      <w:sz w:val="21"/>
                      <w:szCs w:val="21"/>
                    </w:rPr>
                  </w:pPr>
                  <w:r>
                    <w:rPr>
                      <w:sz w:val="21"/>
                      <w:szCs w:val="21"/>
                    </w:rPr>
                    <w:t>141</w:t>
                  </w:r>
                </w:p>
              </w:tc>
              <w:tc>
                <w:tcPr>
                  <w:tcW w:w="945" w:type="pct"/>
                  <w:noWrap/>
                  <w:vAlign w:val="center"/>
                </w:tcPr>
                <w:p w14:paraId="57337D9A">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160</w:t>
                  </w:r>
                </w:p>
              </w:tc>
              <w:tc>
                <w:tcPr>
                  <w:tcW w:w="698" w:type="pct"/>
                  <w:noWrap/>
                  <w:vAlign w:val="center"/>
                </w:tcPr>
                <w:p w14:paraId="31DD021D">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达标</w:t>
                  </w:r>
                </w:p>
              </w:tc>
            </w:tr>
          </w:tbl>
          <w:p w14:paraId="3BD9DFE5">
            <w:pPr>
              <w:adjustRightInd w:val="0"/>
              <w:snapToGrid w:val="0"/>
              <w:spacing w:line="300" w:lineRule="auto"/>
              <w:ind w:firstLine="482"/>
              <w:rPr>
                <w:b/>
                <w:bCs/>
                <w:szCs w:val="32"/>
              </w:rPr>
            </w:pPr>
            <w:r>
              <w:rPr>
                <w:rFonts w:hint="eastAsia"/>
                <w:b/>
                <w:bCs/>
                <w:szCs w:val="32"/>
              </w:rPr>
              <w:t>（2）特征污染物环境质量现状</w:t>
            </w:r>
          </w:p>
          <w:p w14:paraId="3B953A55">
            <w:pPr>
              <w:adjustRightInd w:val="0"/>
              <w:snapToGrid w:val="0"/>
              <w:spacing w:line="360" w:lineRule="auto"/>
              <w:ind w:firstLine="480"/>
              <w:rPr>
                <w:rFonts w:hint="eastAsia"/>
                <w:kern w:val="0"/>
                <w:szCs w:val="22"/>
                <w:lang w:val="en-US" w:eastAsia="zh-CN"/>
              </w:rPr>
            </w:pPr>
            <w:r>
              <w:rPr>
                <w:rFonts w:hint="eastAsia"/>
                <w:kern w:val="0"/>
                <w:szCs w:val="22"/>
                <w:lang w:val="en-US" w:eastAsia="zh-CN"/>
              </w:rPr>
              <w:t>本项目特征污染物为非甲烷总烃，为进一步了解项目所在区域非甲烷总烃环境质量现状，本次评价引用《广东轻工机械二厂智能设备有限公司年产约20套灌装包装生产线成套设备环境影响报告表》中的 TSP、非甲烷总烃现状监测数据，监测时间 2024年10月17日~19日，监测点位位于本项目南侧约4.87km处，为项目3年内有效数据。TVOC和非甲烷总烃监测数据如下表：</w:t>
            </w:r>
          </w:p>
          <w:p w14:paraId="6827EC6A">
            <w:pPr>
              <w:adjustRightInd w:val="0"/>
              <w:snapToGrid w:val="0"/>
              <w:spacing w:line="300" w:lineRule="auto"/>
              <w:ind w:left="0" w:leftChars="0" w:firstLine="0" w:firstLineChars="0"/>
              <w:jc w:val="center"/>
              <w:rPr>
                <w:rFonts w:hint="default"/>
                <w:b/>
                <w:bCs/>
                <w:szCs w:val="32"/>
                <w:lang w:val="en-US" w:eastAsia="zh-CN"/>
              </w:rPr>
            </w:pPr>
            <w:r>
              <w:rPr>
                <w:rFonts w:hint="eastAsia"/>
                <w:b/>
                <w:bCs/>
                <w:szCs w:val="32"/>
                <w:lang w:val="en-US" w:eastAsia="zh-CN"/>
              </w:rPr>
              <w:t>表3-2 环境空气其他污染物监测结果表</w:t>
            </w:r>
          </w:p>
          <w:tbl>
            <w:tblPr>
              <w:tblStyle w:val="31"/>
              <w:tblW w:w="823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990"/>
              <w:gridCol w:w="990"/>
              <w:gridCol w:w="990"/>
              <w:gridCol w:w="1294"/>
              <w:gridCol w:w="990"/>
              <w:gridCol w:w="990"/>
              <w:gridCol w:w="990"/>
            </w:tblGrid>
            <w:tr w14:paraId="4DEE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3CC2">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监测点位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B5E1">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监测项目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89E5">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平均时间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49C3">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评价标准</w:t>
                  </w:r>
                  <w:r>
                    <w:rPr>
                      <w:rFonts w:hint="eastAsia"/>
                      <w:b/>
                      <w:bCs/>
                      <w:szCs w:val="32"/>
                      <w:lang w:val="en-US" w:eastAsia="zh-CN"/>
                    </w:rPr>
                    <w:t>mg/m</w:t>
                  </w:r>
                  <w:r>
                    <w:rPr>
                      <w:rFonts w:hint="eastAsia"/>
                      <w:b/>
                      <w:bCs/>
                      <w:szCs w:val="32"/>
                      <w:vertAlign w:val="superscript"/>
                      <w:lang w:val="en-US" w:eastAsia="zh-CN"/>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5734">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 xml:space="preserve">检测浓度范围 </w:t>
                  </w:r>
                  <w:r>
                    <w:rPr>
                      <w:rFonts w:hint="eastAsia"/>
                      <w:b/>
                      <w:bCs/>
                      <w:szCs w:val="32"/>
                      <w:lang w:val="en-US" w:eastAsia="zh-CN"/>
                    </w:rPr>
                    <w:t>mg/m</w:t>
                  </w:r>
                  <w:r>
                    <w:rPr>
                      <w:rFonts w:hint="eastAsia"/>
                      <w:b/>
                      <w:bCs/>
                      <w:szCs w:val="32"/>
                      <w:vertAlign w:val="superscript"/>
                      <w:lang w:val="en-US" w:eastAsia="zh-CN"/>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74C4">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b/>
                      <w:bCs/>
                      <w:kern w:val="24"/>
                      <w:sz w:val="21"/>
                      <w:szCs w:val="21"/>
                      <w:lang w:val="en-US"/>
                    </w:rPr>
                  </w:pPr>
                  <w:r>
                    <w:rPr>
                      <w:rFonts w:hint="eastAsia"/>
                      <w:b/>
                      <w:bCs/>
                      <w:kern w:val="24"/>
                      <w:sz w:val="21"/>
                      <w:szCs w:val="21"/>
                      <w:lang w:val="en-US" w:eastAsia="zh-CN"/>
                    </w:rPr>
                    <w:t>最大浓度占标率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FADE">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b/>
                      <w:bCs/>
                      <w:kern w:val="24"/>
                      <w:sz w:val="21"/>
                      <w:szCs w:val="21"/>
                      <w:lang w:val="en-US"/>
                    </w:rPr>
                  </w:pPr>
                  <w:r>
                    <w:rPr>
                      <w:rFonts w:hint="eastAsia"/>
                      <w:b/>
                      <w:bCs/>
                      <w:kern w:val="24"/>
                      <w:sz w:val="21"/>
                      <w:szCs w:val="21"/>
                      <w:lang w:val="en-US" w:eastAsia="zh-CN"/>
                    </w:rPr>
                    <w:t>超标率%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B651">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达标情况</w:t>
                  </w:r>
                </w:p>
              </w:tc>
            </w:tr>
            <w:tr w14:paraId="75FF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02" w:type="dxa"/>
                  <w:vMerge w:val="restart"/>
                  <w:tcBorders>
                    <w:top w:val="single" w:color="000000" w:sz="4" w:space="0"/>
                    <w:left w:val="single" w:color="000000" w:sz="4" w:space="0"/>
                    <w:right w:val="single" w:color="000000" w:sz="4" w:space="0"/>
                  </w:tcBorders>
                  <w:shd w:val="clear" w:color="auto" w:fill="auto"/>
                  <w:vAlign w:val="center"/>
                </w:tcPr>
                <w:p w14:paraId="6CDCC731">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rPr>
                  </w:pPr>
                  <w:r>
                    <w:rPr>
                      <w:rFonts w:hint="eastAsia"/>
                      <w:kern w:val="24"/>
                      <w:sz w:val="21"/>
                      <w:szCs w:val="21"/>
                      <w:lang w:val="en-US" w:eastAsia="zh-CN"/>
                    </w:rPr>
                    <w:t>广东轻工机械二厂智能设备有限公司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ADD6">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rPr>
                  </w:pPr>
                  <w:r>
                    <w:rPr>
                      <w:rFonts w:hint="default"/>
                      <w:kern w:val="24"/>
                      <w:sz w:val="21"/>
                      <w:szCs w:val="21"/>
                      <w:lang w:val="en-US" w:eastAsia="zh-CN"/>
                    </w:rPr>
                    <w:t>NMHC</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C5D6">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rPr>
                  </w:pPr>
                  <w:r>
                    <w:rPr>
                      <w:rFonts w:hint="default"/>
                      <w:kern w:val="24"/>
                      <w:sz w:val="21"/>
                      <w:szCs w:val="21"/>
                      <w:lang w:val="en-US" w:eastAsia="zh-CN"/>
                    </w:rPr>
                    <w:t>1h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A4D2">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rPr>
                  </w:pPr>
                  <w:r>
                    <w:rPr>
                      <w:rFonts w:hint="eastAsia"/>
                      <w:kern w:val="24"/>
                      <w:sz w:val="21"/>
                      <w:szCs w:val="21"/>
                      <w:lang w:val="en-US" w:eastAsia="zh-CN"/>
                    </w:rPr>
                    <w:t>2</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D472">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rPr>
                  </w:pPr>
                  <w:r>
                    <w:rPr>
                      <w:rFonts w:hint="default"/>
                      <w:kern w:val="24"/>
                      <w:sz w:val="21"/>
                      <w:szCs w:val="21"/>
                      <w:lang w:val="en-US" w:eastAsia="zh-CN"/>
                    </w:rPr>
                    <w:t>0.17~0.31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2D00">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rPr>
                  </w:pPr>
                  <w:r>
                    <w:rPr>
                      <w:rFonts w:hint="default"/>
                      <w:kern w:val="24"/>
                      <w:sz w:val="21"/>
                      <w:szCs w:val="21"/>
                      <w:lang w:val="en-US" w:eastAsia="zh-CN"/>
                    </w:rPr>
                    <w:t>15.5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B8D1">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rPr>
                  </w:pPr>
                  <w:r>
                    <w:rPr>
                      <w:rFonts w:hint="default"/>
                      <w:kern w:val="24"/>
                      <w:sz w:val="21"/>
                      <w:szCs w:val="21"/>
                      <w:lang w:val="en-US" w:eastAsia="zh-CN"/>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D540">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rPr>
                  </w:pPr>
                  <w:r>
                    <w:rPr>
                      <w:rFonts w:hint="eastAsia"/>
                      <w:kern w:val="24"/>
                      <w:sz w:val="21"/>
                      <w:szCs w:val="21"/>
                      <w:lang w:val="en-US" w:eastAsia="zh-CN"/>
                    </w:rPr>
                    <w:t>达标</w:t>
                  </w:r>
                </w:p>
              </w:tc>
            </w:tr>
            <w:tr w14:paraId="4448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02" w:type="dxa"/>
                  <w:vMerge w:val="continue"/>
                  <w:tcBorders>
                    <w:left w:val="single" w:color="000000" w:sz="4" w:space="0"/>
                    <w:bottom w:val="single" w:color="000000" w:sz="4" w:space="0"/>
                    <w:right w:val="single" w:color="000000" w:sz="4" w:space="0"/>
                  </w:tcBorders>
                  <w:shd w:val="clear" w:color="auto" w:fill="auto"/>
                  <w:vAlign w:val="center"/>
                </w:tcPr>
                <w:p w14:paraId="359809A0">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853E">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TSP</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7DE1">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24h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69FE">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A47B">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0.141~0.168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3DDA">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3AE3">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5AD9">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达标</w:t>
                  </w:r>
                </w:p>
              </w:tc>
            </w:tr>
          </w:tbl>
          <w:p w14:paraId="4E66C98C">
            <w:pPr>
              <w:adjustRightInd w:val="0"/>
              <w:snapToGrid w:val="0"/>
              <w:spacing w:line="360" w:lineRule="auto"/>
              <w:ind w:left="0" w:leftChars="0" w:firstLine="480" w:firstLineChars="200"/>
              <w:rPr>
                <w:rFonts w:hint="eastAsia"/>
                <w:kern w:val="0"/>
                <w:szCs w:val="22"/>
                <w:lang w:val="en-US" w:eastAsia="zh-CN"/>
              </w:rPr>
            </w:pPr>
            <w:r>
              <w:rPr>
                <w:rFonts w:hint="eastAsia"/>
                <w:kern w:val="0"/>
                <w:szCs w:val="22"/>
                <w:lang w:val="en-US" w:eastAsia="zh-CN"/>
              </w:rPr>
              <w:t>根据监测结果，项目区域其他污染物中TSP符合《环境空气质量标准》（GB3095-2012）及其修改单中的二级标准要求；非甲烷总烃浓度符合《大气污染物综合排放标准详解》的标准值要求。</w:t>
            </w:r>
          </w:p>
          <w:p w14:paraId="0C0E00B7">
            <w:pPr>
              <w:adjustRightInd w:val="0"/>
              <w:snapToGrid w:val="0"/>
              <w:spacing w:line="360" w:lineRule="auto"/>
              <w:ind w:left="0" w:leftChars="0" w:firstLine="480" w:firstLineChars="200"/>
              <w:rPr>
                <w:rFonts w:hint="default"/>
                <w:kern w:val="0"/>
                <w:szCs w:val="22"/>
                <w:lang w:val="en-US" w:eastAsia="zh-CN"/>
              </w:rPr>
            </w:pPr>
            <w:r>
              <w:rPr>
                <w:rFonts w:hint="eastAsia"/>
                <w:kern w:val="0"/>
                <w:szCs w:val="22"/>
                <w:lang w:val="en-US" w:eastAsia="zh-CN"/>
              </w:rPr>
              <w:t>综上，区域环境空气质量现状良好。</w:t>
            </w:r>
          </w:p>
          <w:p w14:paraId="47AF16F1">
            <w:pPr>
              <w:adjustRightInd w:val="0"/>
              <w:snapToGrid w:val="0"/>
              <w:spacing w:line="360" w:lineRule="auto"/>
              <w:ind w:firstLine="482"/>
              <w:rPr>
                <w:b/>
                <w:bCs/>
                <w:szCs w:val="32"/>
              </w:rPr>
            </w:pPr>
            <w:r>
              <w:rPr>
                <w:b/>
                <w:bCs/>
                <w:szCs w:val="32"/>
              </w:rPr>
              <w:t>2、地表水现状调查与评价</w:t>
            </w:r>
          </w:p>
          <w:p w14:paraId="5A2678D4">
            <w:pPr>
              <w:adjustRightInd w:val="0"/>
              <w:snapToGrid w:val="0"/>
              <w:spacing w:line="360" w:lineRule="auto"/>
              <w:ind w:firstLine="480" w:firstLineChars="0"/>
              <w:rPr>
                <w:kern w:val="0"/>
                <w:szCs w:val="22"/>
              </w:rPr>
            </w:pPr>
            <w:r>
              <w:rPr>
                <w:rFonts w:hint="eastAsia"/>
                <w:kern w:val="0"/>
                <w:szCs w:val="22"/>
                <w:lang w:val="en-US" w:eastAsia="zh-CN"/>
              </w:rPr>
              <w:t>项目区域地表水体为练江，</w:t>
            </w:r>
            <w:r>
              <w:rPr>
                <w:kern w:val="0"/>
                <w:szCs w:val="22"/>
              </w:rPr>
              <w:t>本评价引用广东省生态环境厅-环境质量-江河水质量中《广东省入海河流2023年第四季度检测信息》中对练江海门湾桥闸水质监测结果进行评价，监测结果见表3-2，结果表明，该时间段练江海门湾桥闸断面各监测因子达到《地表水环境质量标准》（GB 3838-2002）</w:t>
            </w:r>
            <w:r>
              <w:rPr>
                <w:kern w:val="0"/>
                <w:szCs w:val="22"/>
              </w:rPr>
              <w:fldChar w:fldCharType="begin"/>
            </w:r>
            <w:r>
              <w:rPr>
                <w:kern w:val="0"/>
                <w:szCs w:val="22"/>
              </w:rPr>
              <w:instrText xml:space="preserve"> = 4 \* ROMAN \* MERGEFORMAT </w:instrText>
            </w:r>
            <w:r>
              <w:rPr>
                <w:kern w:val="0"/>
                <w:szCs w:val="22"/>
              </w:rPr>
              <w:fldChar w:fldCharType="separate"/>
            </w:r>
            <w:r>
              <w:t>V</w:t>
            </w:r>
            <w:r>
              <w:rPr>
                <w:kern w:val="0"/>
                <w:szCs w:val="22"/>
              </w:rPr>
              <w:fldChar w:fldCharType="end"/>
            </w:r>
            <w:r>
              <w:rPr>
                <w:kern w:val="0"/>
                <w:szCs w:val="22"/>
              </w:rPr>
              <w:t>类水质标准。按照《2023年汕头市生态环境状况公报》，2023年全年练江汕头段水质达到</w:t>
            </w:r>
            <w:r>
              <w:rPr>
                <w:kern w:val="0"/>
                <w:szCs w:val="22"/>
              </w:rPr>
              <w:fldChar w:fldCharType="begin"/>
            </w:r>
            <w:r>
              <w:rPr>
                <w:kern w:val="0"/>
                <w:szCs w:val="22"/>
              </w:rPr>
              <w:instrText xml:space="preserve"> = 4 \* ROMAN \* MERGEFORMAT </w:instrText>
            </w:r>
            <w:r>
              <w:rPr>
                <w:kern w:val="0"/>
                <w:szCs w:val="22"/>
              </w:rPr>
              <w:fldChar w:fldCharType="separate"/>
            </w:r>
            <w:r>
              <w:t>IV</w:t>
            </w:r>
            <w:r>
              <w:rPr>
                <w:kern w:val="0"/>
                <w:szCs w:val="22"/>
              </w:rPr>
              <w:fldChar w:fldCharType="end"/>
            </w:r>
            <w:r>
              <w:rPr>
                <w:kern w:val="0"/>
                <w:szCs w:val="22"/>
              </w:rPr>
              <w:t>类水质目标。（见表3-</w:t>
            </w:r>
            <w:r>
              <w:rPr>
                <w:rFonts w:hint="eastAsia"/>
                <w:kern w:val="0"/>
                <w:szCs w:val="22"/>
                <w:lang w:val="en-US" w:eastAsia="zh-CN"/>
              </w:rPr>
              <w:t>3</w:t>
            </w:r>
            <w:r>
              <w:rPr>
                <w:kern w:val="0"/>
                <w:szCs w:val="22"/>
              </w:rPr>
              <w:t>及表3-</w:t>
            </w:r>
            <w:r>
              <w:rPr>
                <w:rFonts w:hint="eastAsia"/>
                <w:kern w:val="0"/>
                <w:szCs w:val="22"/>
                <w:lang w:val="en-US" w:eastAsia="zh-CN"/>
              </w:rPr>
              <w:t>4</w:t>
            </w:r>
            <w:r>
              <w:rPr>
                <w:kern w:val="0"/>
                <w:szCs w:val="22"/>
              </w:rPr>
              <w:t>）</w:t>
            </w:r>
          </w:p>
          <w:p w14:paraId="27B14618">
            <w:pPr>
              <w:adjustRightInd w:val="0"/>
              <w:snapToGrid w:val="0"/>
              <w:spacing w:line="360" w:lineRule="auto"/>
              <w:ind w:firstLine="0" w:firstLineChars="0"/>
              <w:jc w:val="center"/>
              <w:rPr>
                <w:b/>
                <w:bCs/>
                <w:szCs w:val="22"/>
              </w:rPr>
            </w:pPr>
            <w:r>
              <w:rPr>
                <w:b/>
                <w:bCs/>
                <w:szCs w:val="22"/>
              </w:rPr>
              <w:t>表3-</w:t>
            </w:r>
            <w:r>
              <w:rPr>
                <w:rFonts w:hint="eastAsia"/>
                <w:b/>
                <w:bCs/>
                <w:szCs w:val="22"/>
                <w:lang w:val="en-US" w:eastAsia="zh-CN"/>
              </w:rPr>
              <w:t>3</w:t>
            </w:r>
            <w:r>
              <w:rPr>
                <w:b/>
                <w:bCs/>
                <w:szCs w:val="22"/>
              </w:rPr>
              <w:t xml:space="preserve"> 2023年第四季度练江汕头段水质状况表（部分指标）</w:t>
            </w:r>
          </w:p>
          <w:tbl>
            <w:tblPr>
              <w:tblStyle w:val="31"/>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442"/>
              <w:gridCol w:w="650"/>
              <w:gridCol w:w="722"/>
              <w:gridCol w:w="766"/>
              <w:gridCol w:w="801"/>
              <w:gridCol w:w="1234"/>
              <w:gridCol w:w="1577"/>
            </w:tblGrid>
            <w:tr w14:paraId="5918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1" w:type="dxa"/>
                  <w:vMerge w:val="restart"/>
                  <w:vAlign w:val="center"/>
                </w:tcPr>
                <w:p w14:paraId="47CA33AE">
                  <w:pPr>
                    <w:adjustRightInd w:val="0"/>
                    <w:snapToGrid w:val="0"/>
                    <w:spacing w:line="240" w:lineRule="auto"/>
                    <w:ind w:firstLine="0" w:firstLineChars="0"/>
                    <w:jc w:val="center"/>
                    <w:rPr>
                      <w:b/>
                      <w:bCs/>
                      <w:sz w:val="21"/>
                      <w:szCs w:val="21"/>
                    </w:rPr>
                  </w:pPr>
                  <w:r>
                    <w:rPr>
                      <w:b/>
                      <w:bCs/>
                      <w:sz w:val="21"/>
                      <w:szCs w:val="21"/>
                    </w:rPr>
                    <w:t>监测断面</w:t>
                  </w:r>
                </w:p>
              </w:tc>
              <w:tc>
                <w:tcPr>
                  <w:tcW w:w="1442" w:type="dxa"/>
                  <w:vMerge w:val="restart"/>
                  <w:vAlign w:val="center"/>
                </w:tcPr>
                <w:p w14:paraId="68578664">
                  <w:pPr>
                    <w:adjustRightInd w:val="0"/>
                    <w:snapToGrid w:val="0"/>
                    <w:spacing w:line="240" w:lineRule="auto"/>
                    <w:ind w:firstLine="0" w:firstLineChars="0"/>
                    <w:jc w:val="center"/>
                    <w:rPr>
                      <w:b/>
                      <w:bCs/>
                      <w:sz w:val="21"/>
                      <w:szCs w:val="21"/>
                    </w:rPr>
                  </w:pPr>
                  <w:r>
                    <w:rPr>
                      <w:b/>
                      <w:bCs/>
                      <w:sz w:val="21"/>
                      <w:szCs w:val="21"/>
                    </w:rPr>
                    <w:t>监测时间</w:t>
                  </w:r>
                </w:p>
              </w:tc>
              <w:tc>
                <w:tcPr>
                  <w:tcW w:w="5750" w:type="dxa"/>
                  <w:gridSpan w:val="6"/>
                  <w:vAlign w:val="center"/>
                </w:tcPr>
                <w:p w14:paraId="6B849A9D">
                  <w:pPr>
                    <w:adjustRightInd w:val="0"/>
                    <w:snapToGrid w:val="0"/>
                    <w:spacing w:line="240" w:lineRule="auto"/>
                    <w:ind w:firstLine="422"/>
                    <w:jc w:val="center"/>
                    <w:rPr>
                      <w:b/>
                      <w:bCs/>
                      <w:sz w:val="21"/>
                      <w:szCs w:val="21"/>
                    </w:rPr>
                  </w:pPr>
                  <w:r>
                    <w:rPr>
                      <w:b/>
                      <w:bCs/>
                      <w:sz w:val="21"/>
                      <w:szCs w:val="21"/>
                    </w:rPr>
                    <w:t>监测项目及监测结果（单位：mg/L、除PH值无量纲）</w:t>
                  </w:r>
                </w:p>
              </w:tc>
            </w:tr>
            <w:tr w14:paraId="2D4D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01" w:type="dxa"/>
                  <w:vMerge w:val="continue"/>
                  <w:vAlign w:val="center"/>
                </w:tcPr>
                <w:p w14:paraId="1B98006F">
                  <w:pPr>
                    <w:adjustRightInd w:val="0"/>
                    <w:snapToGrid w:val="0"/>
                    <w:spacing w:line="240" w:lineRule="auto"/>
                    <w:ind w:firstLine="0" w:firstLineChars="0"/>
                    <w:jc w:val="center"/>
                    <w:rPr>
                      <w:sz w:val="21"/>
                      <w:szCs w:val="21"/>
                    </w:rPr>
                  </w:pPr>
                </w:p>
              </w:tc>
              <w:tc>
                <w:tcPr>
                  <w:tcW w:w="1442" w:type="dxa"/>
                  <w:vMerge w:val="continue"/>
                  <w:vAlign w:val="center"/>
                </w:tcPr>
                <w:p w14:paraId="0D849486">
                  <w:pPr>
                    <w:adjustRightInd w:val="0"/>
                    <w:snapToGrid w:val="0"/>
                    <w:spacing w:line="240" w:lineRule="auto"/>
                    <w:ind w:firstLine="0" w:firstLineChars="0"/>
                    <w:jc w:val="center"/>
                    <w:rPr>
                      <w:b/>
                      <w:bCs/>
                      <w:sz w:val="21"/>
                      <w:szCs w:val="21"/>
                    </w:rPr>
                  </w:pPr>
                </w:p>
              </w:tc>
              <w:tc>
                <w:tcPr>
                  <w:tcW w:w="650" w:type="dxa"/>
                  <w:vAlign w:val="center"/>
                </w:tcPr>
                <w:p w14:paraId="094E8F16">
                  <w:pPr>
                    <w:adjustRightInd w:val="0"/>
                    <w:snapToGrid w:val="0"/>
                    <w:spacing w:line="240" w:lineRule="auto"/>
                    <w:ind w:firstLine="0" w:firstLineChars="0"/>
                    <w:jc w:val="center"/>
                    <w:rPr>
                      <w:b/>
                      <w:bCs/>
                      <w:sz w:val="21"/>
                      <w:szCs w:val="21"/>
                    </w:rPr>
                  </w:pPr>
                  <w:r>
                    <w:rPr>
                      <w:b/>
                      <w:bCs/>
                      <w:sz w:val="21"/>
                      <w:szCs w:val="21"/>
                    </w:rPr>
                    <w:t>PH</w:t>
                  </w:r>
                </w:p>
              </w:tc>
              <w:tc>
                <w:tcPr>
                  <w:tcW w:w="722" w:type="dxa"/>
                  <w:vAlign w:val="center"/>
                </w:tcPr>
                <w:p w14:paraId="0C18918F">
                  <w:pPr>
                    <w:adjustRightInd w:val="0"/>
                    <w:snapToGrid w:val="0"/>
                    <w:spacing w:line="240" w:lineRule="auto"/>
                    <w:ind w:firstLine="0" w:firstLineChars="0"/>
                    <w:jc w:val="center"/>
                    <w:rPr>
                      <w:b/>
                      <w:bCs/>
                      <w:sz w:val="21"/>
                      <w:szCs w:val="21"/>
                    </w:rPr>
                  </w:pPr>
                  <w:r>
                    <w:rPr>
                      <w:b/>
                      <w:bCs/>
                      <w:sz w:val="21"/>
                      <w:szCs w:val="21"/>
                    </w:rPr>
                    <w:t>COD</w:t>
                  </w:r>
                </w:p>
              </w:tc>
              <w:tc>
                <w:tcPr>
                  <w:tcW w:w="766" w:type="dxa"/>
                  <w:vAlign w:val="center"/>
                </w:tcPr>
                <w:p w14:paraId="0F789CAF">
                  <w:pPr>
                    <w:adjustRightInd w:val="0"/>
                    <w:snapToGrid w:val="0"/>
                    <w:spacing w:line="240" w:lineRule="auto"/>
                    <w:ind w:firstLine="0" w:firstLineChars="0"/>
                    <w:jc w:val="center"/>
                    <w:rPr>
                      <w:b/>
                      <w:bCs/>
                      <w:sz w:val="21"/>
                      <w:szCs w:val="21"/>
                    </w:rPr>
                  </w:pPr>
                  <w:r>
                    <w:rPr>
                      <w:b/>
                      <w:bCs/>
                      <w:sz w:val="21"/>
                      <w:szCs w:val="21"/>
                    </w:rPr>
                    <w:t>BOD</w:t>
                  </w:r>
                  <w:r>
                    <w:rPr>
                      <w:b/>
                      <w:bCs/>
                      <w:sz w:val="21"/>
                      <w:szCs w:val="21"/>
                      <w:vertAlign w:val="subscript"/>
                    </w:rPr>
                    <w:t>5</w:t>
                  </w:r>
                </w:p>
              </w:tc>
              <w:tc>
                <w:tcPr>
                  <w:tcW w:w="801" w:type="dxa"/>
                  <w:vAlign w:val="center"/>
                </w:tcPr>
                <w:p w14:paraId="75EE57F3">
                  <w:pPr>
                    <w:adjustRightInd w:val="0"/>
                    <w:snapToGrid w:val="0"/>
                    <w:spacing w:line="240" w:lineRule="auto"/>
                    <w:ind w:firstLine="0" w:firstLineChars="0"/>
                    <w:jc w:val="center"/>
                    <w:rPr>
                      <w:b/>
                      <w:bCs/>
                      <w:sz w:val="21"/>
                      <w:szCs w:val="21"/>
                    </w:rPr>
                  </w:pPr>
                  <w:r>
                    <w:rPr>
                      <w:b/>
                      <w:bCs/>
                      <w:sz w:val="21"/>
                      <w:szCs w:val="21"/>
                    </w:rPr>
                    <w:t>DO</w:t>
                  </w:r>
                </w:p>
              </w:tc>
              <w:tc>
                <w:tcPr>
                  <w:tcW w:w="1234" w:type="dxa"/>
                  <w:vAlign w:val="center"/>
                </w:tcPr>
                <w:p w14:paraId="4C926FC5">
                  <w:pPr>
                    <w:adjustRightInd w:val="0"/>
                    <w:snapToGrid w:val="0"/>
                    <w:spacing w:line="240" w:lineRule="auto"/>
                    <w:ind w:firstLine="0" w:firstLineChars="0"/>
                    <w:jc w:val="center"/>
                    <w:rPr>
                      <w:b/>
                      <w:bCs/>
                      <w:sz w:val="21"/>
                      <w:szCs w:val="21"/>
                    </w:rPr>
                  </w:pPr>
                  <w:r>
                    <w:rPr>
                      <w:b/>
                      <w:bCs/>
                      <w:sz w:val="21"/>
                      <w:szCs w:val="21"/>
                    </w:rPr>
                    <w:t>氨氮</w:t>
                  </w:r>
                </w:p>
              </w:tc>
              <w:tc>
                <w:tcPr>
                  <w:tcW w:w="1577" w:type="dxa"/>
                  <w:vAlign w:val="center"/>
                </w:tcPr>
                <w:p w14:paraId="40068CF4">
                  <w:pPr>
                    <w:adjustRightInd w:val="0"/>
                    <w:snapToGrid w:val="0"/>
                    <w:spacing w:line="240" w:lineRule="auto"/>
                    <w:ind w:firstLine="0" w:firstLineChars="0"/>
                    <w:jc w:val="center"/>
                    <w:rPr>
                      <w:b/>
                      <w:bCs/>
                      <w:sz w:val="21"/>
                      <w:szCs w:val="21"/>
                    </w:rPr>
                  </w:pPr>
                  <w:r>
                    <w:rPr>
                      <w:b/>
                      <w:bCs/>
                      <w:sz w:val="21"/>
                      <w:szCs w:val="21"/>
                    </w:rPr>
                    <w:t>高锰酸钾指数</w:t>
                  </w:r>
                </w:p>
              </w:tc>
            </w:tr>
            <w:tr w14:paraId="4BC6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restart"/>
                  <w:vAlign w:val="center"/>
                </w:tcPr>
                <w:p w14:paraId="075C4EFD">
                  <w:pPr>
                    <w:adjustRightInd w:val="0"/>
                    <w:snapToGrid w:val="0"/>
                    <w:spacing w:line="240" w:lineRule="auto"/>
                    <w:ind w:firstLine="0" w:firstLineChars="0"/>
                    <w:jc w:val="center"/>
                    <w:rPr>
                      <w:sz w:val="21"/>
                      <w:szCs w:val="21"/>
                    </w:rPr>
                  </w:pPr>
                  <w:r>
                    <w:rPr>
                      <w:sz w:val="21"/>
                      <w:szCs w:val="21"/>
                    </w:rPr>
                    <w:t>练江海门湾桥闸断面</w:t>
                  </w:r>
                </w:p>
              </w:tc>
              <w:tc>
                <w:tcPr>
                  <w:tcW w:w="1442" w:type="dxa"/>
                  <w:vAlign w:val="center"/>
                </w:tcPr>
                <w:p w14:paraId="19E2D82D">
                  <w:pPr>
                    <w:adjustRightInd w:val="0"/>
                    <w:snapToGrid w:val="0"/>
                    <w:spacing w:line="240" w:lineRule="auto"/>
                    <w:ind w:firstLine="0" w:firstLineChars="0"/>
                    <w:jc w:val="center"/>
                    <w:rPr>
                      <w:sz w:val="21"/>
                      <w:szCs w:val="21"/>
                    </w:rPr>
                  </w:pPr>
                  <w:r>
                    <w:rPr>
                      <w:sz w:val="21"/>
                      <w:szCs w:val="21"/>
                    </w:rPr>
                    <w:t>2023年10月</w:t>
                  </w:r>
                </w:p>
              </w:tc>
              <w:tc>
                <w:tcPr>
                  <w:tcW w:w="650" w:type="dxa"/>
                  <w:vAlign w:val="center"/>
                </w:tcPr>
                <w:p w14:paraId="50DE5CB3">
                  <w:pPr>
                    <w:adjustRightInd w:val="0"/>
                    <w:snapToGrid w:val="0"/>
                    <w:spacing w:line="240" w:lineRule="auto"/>
                    <w:ind w:firstLine="0" w:firstLineChars="0"/>
                    <w:jc w:val="center"/>
                    <w:rPr>
                      <w:sz w:val="21"/>
                      <w:szCs w:val="21"/>
                    </w:rPr>
                  </w:pPr>
                  <w:r>
                    <w:rPr>
                      <w:sz w:val="21"/>
                      <w:szCs w:val="21"/>
                    </w:rPr>
                    <w:t>8</w:t>
                  </w:r>
                </w:p>
              </w:tc>
              <w:tc>
                <w:tcPr>
                  <w:tcW w:w="722" w:type="dxa"/>
                  <w:vAlign w:val="center"/>
                </w:tcPr>
                <w:p w14:paraId="1D2271D6">
                  <w:pPr>
                    <w:adjustRightInd w:val="0"/>
                    <w:snapToGrid w:val="0"/>
                    <w:spacing w:line="240" w:lineRule="auto"/>
                    <w:ind w:firstLine="0" w:firstLineChars="0"/>
                    <w:jc w:val="center"/>
                    <w:rPr>
                      <w:sz w:val="21"/>
                      <w:szCs w:val="21"/>
                    </w:rPr>
                  </w:pPr>
                  <w:r>
                    <w:rPr>
                      <w:sz w:val="21"/>
                      <w:szCs w:val="21"/>
                    </w:rPr>
                    <w:t>17.5</w:t>
                  </w:r>
                </w:p>
              </w:tc>
              <w:tc>
                <w:tcPr>
                  <w:tcW w:w="766" w:type="dxa"/>
                  <w:vAlign w:val="center"/>
                </w:tcPr>
                <w:p w14:paraId="31386BE6">
                  <w:pPr>
                    <w:adjustRightInd w:val="0"/>
                    <w:snapToGrid w:val="0"/>
                    <w:spacing w:line="240" w:lineRule="auto"/>
                    <w:ind w:firstLine="0" w:firstLineChars="0"/>
                    <w:jc w:val="center"/>
                    <w:rPr>
                      <w:sz w:val="21"/>
                      <w:szCs w:val="21"/>
                    </w:rPr>
                  </w:pPr>
                  <w:r>
                    <w:rPr>
                      <w:sz w:val="21"/>
                      <w:szCs w:val="21"/>
                    </w:rPr>
                    <w:t>1.2</w:t>
                  </w:r>
                </w:p>
              </w:tc>
              <w:tc>
                <w:tcPr>
                  <w:tcW w:w="801" w:type="dxa"/>
                  <w:vAlign w:val="center"/>
                </w:tcPr>
                <w:p w14:paraId="683071ED">
                  <w:pPr>
                    <w:adjustRightInd w:val="0"/>
                    <w:snapToGrid w:val="0"/>
                    <w:spacing w:line="240" w:lineRule="auto"/>
                    <w:ind w:firstLine="0" w:firstLineChars="0"/>
                    <w:jc w:val="center"/>
                    <w:rPr>
                      <w:sz w:val="21"/>
                      <w:szCs w:val="21"/>
                    </w:rPr>
                  </w:pPr>
                  <w:r>
                    <w:rPr>
                      <w:sz w:val="21"/>
                      <w:szCs w:val="21"/>
                    </w:rPr>
                    <w:t>8.2</w:t>
                  </w:r>
                </w:p>
              </w:tc>
              <w:tc>
                <w:tcPr>
                  <w:tcW w:w="1234" w:type="dxa"/>
                  <w:vAlign w:val="center"/>
                </w:tcPr>
                <w:p w14:paraId="72E53CD8">
                  <w:pPr>
                    <w:adjustRightInd w:val="0"/>
                    <w:snapToGrid w:val="0"/>
                    <w:spacing w:line="240" w:lineRule="auto"/>
                    <w:ind w:firstLine="0" w:firstLineChars="0"/>
                    <w:jc w:val="center"/>
                    <w:rPr>
                      <w:sz w:val="21"/>
                      <w:szCs w:val="21"/>
                    </w:rPr>
                  </w:pPr>
                  <w:r>
                    <w:rPr>
                      <w:sz w:val="21"/>
                      <w:szCs w:val="21"/>
                    </w:rPr>
                    <w:t>0.85</w:t>
                  </w:r>
                </w:p>
              </w:tc>
              <w:tc>
                <w:tcPr>
                  <w:tcW w:w="1577" w:type="dxa"/>
                  <w:vAlign w:val="center"/>
                </w:tcPr>
                <w:p w14:paraId="39B725EE">
                  <w:pPr>
                    <w:adjustRightInd w:val="0"/>
                    <w:snapToGrid w:val="0"/>
                    <w:spacing w:line="240" w:lineRule="auto"/>
                    <w:ind w:firstLine="0" w:firstLineChars="0"/>
                    <w:jc w:val="center"/>
                    <w:rPr>
                      <w:sz w:val="21"/>
                      <w:szCs w:val="21"/>
                    </w:rPr>
                  </w:pPr>
                  <w:r>
                    <w:rPr>
                      <w:sz w:val="21"/>
                      <w:szCs w:val="21"/>
                    </w:rPr>
                    <w:t>5.1</w:t>
                  </w:r>
                </w:p>
              </w:tc>
            </w:tr>
            <w:tr w14:paraId="65CA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vAlign w:val="center"/>
                </w:tcPr>
                <w:p w14:paraId="25A5C471">
                  <w:pPr>
                    <w:adjustRightInd w:val="0"/>
                    <w:snapToGrid w:val="0"/>
                    <w:spacing w:line="240" w:lineRule="auto"/>
                    <w:ind w:firstLine="420"/>
                    <w:jc w:val="center"/>
                    <w:rPr>
                      <w:sz w:val="21"/>
                      <w:szCs w:val="21"/>
                    </w:rPr>
                  </w:pPr>
                </w:p>
              </w:tc>
              <w:tc>
                <w:tcPr>
                  <w:tcW w:w="1442" w:type="dxa"/>
                  <w:vAlign w:val="center"/>
                </w:tcPr>
                <w:p w14:paraId="748CEFF0">
                  <w:pPr>
                    <w:adjustRightInd w:val="0"/>
                    <w:snapToGrid w:val="0"/>
                    <w:spacing w:line="240" w:lineRule="auto"/>
                    <w:ind w:firstLine="0" w:firstLineChars="0"/>
                    <w:jc w:val="center"/>
                    <w:rPr>
                      <w:sz w:val="21"/>
                      <w:szCs w:val="21"/>
                    </w:rPr>
                  </w:pPr>
                  <w:r>
                    <w:rPr>
                      <w:sz w:val="21"/>
                      <w:szCs w:val="21"/>
                    </w:rPr>
                    <w:t>2023年11月</w:t>
                  </w:r>
                </w:p>
              </w:tc>
              <w:tc>
                <w:tcPr>
                  <w:tcW w:w="650" w:type="dxa"/>
                  <w:vAlign w:val="center"/>
                </w:tcPr>
                <w:p w14:paraId="45B0A045">
                  <w:pPr>
                    <w:adjustRightInd w:val="0"/>
                    <w:snapToGrid w:val="0"/>
                    <w:spacing w:line="240" w:lineRule="auto"/>
                    <w:ind w:firstLine="0" w:firstLineChars="0"/>
                    <w:jc w:val="center"/>
                    <w:rPr>
                      <w:sz w:val="21"/>
                      <w:szCs w:val="21"/>
                    </w:rPr>
                  </w:pPr>
                  <w:r>
                    <w:rPr>
                      <w:sz w:val="21"/>
                      <w:szCs w:val="21"/>
                    </w:rPr>
                    <w:t>8</w:t>
                  </w:r>
                </w:p>
              </w:tc>
              <w:tc>
                <w:tcPr>
                  <w:tcW w:w="722" w:type="dxa"/>
                  <w:vAlign w:val="center"/>
                </w:tcPr>
                <w:p w14:paraId="3A059149">
                  <w:pPr>
                    <w:adjustRightInd w:val="0"/>
                    <w:snapToGrid w:val="0"/>
                    <w:spacing w:line="240" w:lineRule="auto"/>
                    <w:ind w:firstLine="0" w:firstLineChars="0"/>
                    <w:jc w:val="center"/>
                    <w:rPr>
                      <w:sz w:val="21"/>
                      <w:szCs w:val="21"/>
                    </w:rPr>
                  </w:pPr>
                  <w:r>
                    <w:rPr>
                      <w:sz w:val="21"/>
                      <w:szCs w:val="21"/>
                    </w:rPr>
                    <w:t>18.5</w:t>
                  </w:r>
                </w:p>
              </w:tc>
              <w:tc>
                <w:tcPr>
                  <w:tcW w:w="766" w:type="dxa"/>
                  <w:vAlign w:val="center"/>
                </w:tcPr>
                <w:p w14:paraId="7B4DEC91">
                  <w:pPr>
                    <w:adjustRightInd w:val="0"/>
                    <w:snapToGrid w:val="0"/>
                    <w:spacing w:line="240" w:lineRule="auto"/>
                    <w:ind w:firstLine="0" w:firstLineChars="0"/>
                    <w:jc w:val="center"/>
                    <w:rPr>
                      <w:sz w:val="21"/>
                      <w:szCs w:val="21"/>
                    </w:rPr>
                  </w:pPr>
                  <w:r>
                    <w:rPr>
                      <w:sz w:val="21"/>
                      <w:szCs w:val="21"/>
                    </w:rPr>
                    <w:t>1.8</w:t>
                  </w:r>
                </w:p>
              </w:tc>
              <w:tc>
                <w:tcPr>
                  <w:tcW w:w="801" w:type="dxa"/>
                  <w:vAlign w:val="center"/>
                </w:tcPr>
                <w:p w14:paraId="5708C68C">
                  <w:pPr>
                    <w:adjustRightInd w:val="0"/>
                    <w:snapToGrid w:val="0"/>
                    <w:spacing w:line="240" w:lineRule="auto"/>
                    <w:ind w:firstLine="0" w:firstLineChars="0"/>
                    <w:jc w:val="center"/>
                    <w:rPr>
                      <w:sz w:val="21"/>
                      <w:szCs w:val="21"/>
                    </w:rPr>
                  </w:pPr>
                  <w:r>
                    <w:rPr>
                      <w:sz w:val="21"/>
                      <w:szCs w:val="21"/>
                    </w:rPr>
                    <w:t>8.4</w:t>
                  </w:r>
                </w:p>
              </w:tc>
              <w:tc>
                <w:tcPr>
                  <w:tcW w:w="1234" w:type="dxa"/>
                  <w:vAlign w:val="center"/>
                </w:tcPr>
                <w:p w14:paraId="0F09606D">
                  <w:pPr>
                    <w:adjustRightInd w:val="0"/>
                    <w:snapToGrid w:val="0"/>
                    <w:spacing w:line="240" w:lineRule="auto"/>
                    <w:ind w:firstLine="0" w:firstLineChars="0"/>
                    <w:jc w:val="center"/>
                    <w:rPr>
                      <w:sz w:val="21"/>
                      <w:szCs w:val="21"/>
                    </w:rPr>
                  </w:pPr>
                  <w:r>
                    <w:rPr>
                      <w:sz w:val="21"/>
                      <w:szCs w:val="21"/>
                    </w:rPr>
                    <w:t>0.23</w:t>
                  </w:r>
                </w:p>
              </w:tc>
              <w:tc>
                <w:tcPr>
                  <w:tcW w:w="1577" w:type="dxa"/>
                  <w:vAlign w:val="center"/>
                </w:tcPr>
                <w:p w14:paraId="4811074E">
                  <w:pPr>
                    <w:adjustRightInd w:val="0"/>
                    <w:snapToGrid w:val="0"/>
                    <w:spacing w:line="240" w:lineRule="auto"/>
                    <w:ind w:firstLine="0" w:firstLineChars="0"/>
                    <w:jc w:val="center"/>
                    <w:rPr>
                      <w:sz w:val="21"/>
                      <w:szCs w:val="21"/>
                    </w:rPr>
                  </w:pPr>
                  <w:r>
                    <w:rPr>
                      <w:sz w:val="21"/>
                      <w:szCs w:val="21"/>
                    </w:rPr>
                    <w:t>5.7</w:t>
                  </w:r>
                </w:p>
              </w:tc>
            </w:tr>
            <w:tr w14:paraId="6940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vAlign w:val="center"/>
                </w:tcPr>
                <w:p w14:paraId="7EA3404A">
                  <w:pPr>
                    <w:adjustRightInd w:val="0"/>
                    <w:snapToGrid w:val="0"/>
                    <w:spacing w:line="240" w:lineRule="auto"/>
                    <w:ind w:firstLine="420"/>
                    <w:jc w:val="center"/>
                    <w:rPr>
                      <w:sz w:val="21"/>
                      <w:szCs w:val="21"/>
                    </w:rPr>
                  </w:pPr>
                </w:p>
              </w:tc>
              <w:tc>
                <w:tcPr>
                  <w:tcW w:w="1442" w:type="dxa"/>
                  <w:vAlign w:val="center"/>
                </w:tcPr>
                <w:p w14:paraId="7D7086E2">
                  <w:pPr>
                    <w:adjustRightInd w:val="0"/>
                    <w:snapToGrid w:val="0"/>
                    <w:spacing w:line="240" w:lineRule="auto"/>
                    <w:ind w:firstLine="0" w:firstLineChars="0"/>
                    <w:jc w:val="center"/>
                    <w:rPr>
                      <w:sz w:val="21"/>
                      <w:szCs w:val="21"/>
                    </w:rPr>
                  </w:pPr>
                  <w:r>
                    <w:rPr>
                      <w:sz w:val="21"/>
                      <w:szCs w:val="21"/>
                    </w:rPr>
                    <w:t>2023年12月</w:t>
                  </w:r>
                </w:p>
              </w:tc>
              <w:tc>
                <w:tcPr>
                  <w:tcW w:w="650" w:type="dxa"/>
                  <w:vAlign w:val="center"/>
                </w:tcPr>
                <w:p w14:paraId="02619722">
                  <w:pPr>
                    <w:adjustRightInd w:val="0"/>
                    <w:snapToGrid w:val="0"/>
                    <w:spacing w:line="240" w:lineRule="auto"/>
                    <w:ind w:firstLine="0" w:firstLineChars="0"/>
                    <w:jc w:val="center"/>
                    <w:rPr>
                      <w:sz w:val="21"/>
                      <w:szCs w:val="21"/>
                    </w:rPr>
                  </w:pPr>
                  <w:r>
                    <w:rPr>
                      <w:sz w:val="21"/>
                      <w:szCs w:val="21"/>
                    </w:rPr>
                    <w:t>8</w:t>
                  </w:r>
                </w:p>
              </w:tc>
              <w:tc>
                <w:tcPr>
                  <w:tcW w:w="722" w:type="dxa"/>
                  <w:vAlign w:val="center"/>
                </w:tcPr>
                <w:p w14:paraId="025249FE">
                  <w:pPr>
                    <w:adjustRightInd w:val="0"/>
                    <w:snapToGrid w:val="0"/>
                    <w:spacing w:line="240" w:lineRule="auto"/>
                    <w:ind w:firstLine="0" w:firstLineChars="0"/>
                    <w:jc w:val="center"/>
                    <w:rPr>
                      <w:sz w:val="21"/>
                      <w:szCs w:val="21"/>
                    </w:rPr>
                  </w:pPr>
                  <w:r>
                    <w:rPr>
                      <w:sz w:val="21"/>
                      <w:szCs w:val="21"/>
                    </w:rPr>
                    <w:t>18.5</w:t>
                  </w:r>
                </w:p>
              </w:tc>
              <w:tc>
                <w:tcPr>
                  <w:tcW w:w="766" w:type="dxa"/>
                  <w:vAlign w:val="center"/>
                </w:tcPr>
                <w:p w14:paraId="70EB56C0">
                  <w:pPr>
                    <w:adjustRightInd w:val="0"/>
                    <w:snapToGrid w:val="0"/>
                    <w:spacing w:line="240" w:lineRule="auto"/>
                    <w:ind w:firstLine="0" w:firstLineChars="0"/>
                    <w:jc w:val="center"/>
                    <w:rPr>
                      <w:sz w:val="21"/>
                      <w:szCs w:val="21"/>
                    </w:rPr>
                  </w:pPr>
                  <w:r>
                    <w:rPr>
                      <w:sz w:val="21"/>
                      <w:szCs w:val="21"/>
                    </w:rPr>
                    <w:t>1.3</w:t>
                  </w:r>
                </w:p>
              </w:tc>
              <w:tc>
                <w:tcPr>
                  <w:tcW w:w="801" w:type="dxa"/>
                  <w:vAlign w:val="center"/>
                </w:tcPr>
                <w:p w14:paraId="56CABB58">
                  <w:pPr>
                    <w:adjustRightInd w:val="0"/>
                    <w:snapToGrid w:val="0"/>
                    <w:spacing w:line="240" w:lineRule="auto"/>
                    <w:ind w:firstLine="0" w:firstLineChars="0"/>
                    <w:jc w:val="center"/>
                    <w:rPr>
                      <w:sz w:val="21"/>
                      <w:szCs w:val="21"/>
                    </w:rPr>
                  </w:pPr>
                  <w:r>
                    <w:rPr>
                      <w:sz w:val="21"/>
                      <w:szCs w:val="21"/>
                    </w:rPr>
                    <w:t>9.9</w:t>
                  </w:r>
                </w:p>
              </w:tc>
              <w:tc>
                <w:tcPr>
                  <w:tcW w:w="1234" w:type="dxa"/>
                  <w:vAlign w:val="center"/>
                </w:tcPr>
                <w:p w14:paraId="646FF5C7">
                  <w:pPr>
                    <w:adjustRightInd w:val="0"/>
                    <w:snapToGrid w:val="0"/>
                    <w:spacing w:line="240" w:lineRule="auto"/>
                    <w:ind w:firstLine="0" w:firstLineChars="0"/>
                    <w:jc w:val="center"/>
                    <w:rPr>
                      <w:sz w:val="21"/>
                      <w:szCs w:val="21"/>
                    </w:rPr>
                  </w:pPr>
                  <w:r>
                    <w:rPr>
                      <w:sz w:val="21"/>
                      <w:szCs w:val="21"/>
                    </w:rPr>
                    <w:t>0.49</w:t>
                  </w:r>
                </w:p>
              </w:tc>
              <w:tc>
                <w:tcPr>
                  <w:tcW w:w="1577" w:type="dxa"/>
                  <w:vAlign w:val="center"/>
                </w:tcPr>
                <w:p w14:paraId="7B3CAD10">
                  <w:pPr>
                    <w:adjustRightInd w:val="0"/>
                    <w:snapToGrid w:val="0"/>
                    <w:spacing w:line="240" w:lineRule="auto"/>
                    <w:ind w:firstLine="0" w:firstLineChars="0"/>
                    <w:jc w:val="center"/>
                    <w:rPr>
                      <w:sz w:val="21"/>
                      <w:szCs w:val="21"/>
                    </w:rPr>
                  </w:pPr>
                  <w:r>
                    <w:rPr>
                      <w:sz w:val="21"/>
                      <w:szCs w:val="21"/>
                    </w:rPr>
                    <w:t>5.5</w:t>
                  </w:r>
                </w:p>
              </w:tc>
            </w:tr>
          </w:tbl>
          <w:p w14:paraId="212FF9E9">
            <w:pPr>
              <w:adjustRightInd w:val="0"/>
              <w:snapToGrid w:val="0"/>
              <w:spacing w:line="240" w:lineRule="auto"/>
              <w:ind w:firstLine="0" w:firstLineChars="0"/>
              <w:jc w:val="center"/>
              <w:rPr>
                <w:b/>
                <w:bCs/>
                <w:szCs w:val="22"/>
              </w:rPr>
            </w:pPr>
          </w:p>
          <w:p w14:paraId="3CE8E2D2">
            <w:pPr>
              <w:adjustRightInd w:val="0"/>
              <w:snapToGrid w:val="0"/>
              <w:spacing w:line="240" w:lineRule="auto"/>
              <w:ind w:firstLine="0" w:firstLineChars="0"/>
              <w:jc w:val="center"/>
              <w:rPr>
                <w:b/>
                <w:bCs/>
                <w:szCs w:val="22"/>
              </w:rPr>
            </w:pPr>
            <w:r>
              <w:rPr>
                <w:b/>
                <w:bCs/>
                <w:szCs w:val="22"/>
              </w:rPr>
              <w:t>表3-</w:t>
            </w:r>
            <w:r>
              <w:rPr>
                <w:rFonts w:hint="eastAsia"/>
                <w:b/>
                <w:bCs/>
                <w:szCs w:val="22"/>
                <w:lang w:val="en-US" w:eastAsia="zh-CN"/>
              </w:rPr>
              <w:t>4</w:t>
            </w:r>
            <w:r>
              <w:rPr>
                <w:b/>
                <w:bCs/>
                <w:szCs w:val="22"/>
              </w:rPr>
              <w:t xml:space="preserve"> 2023年练江水质状况统计表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40"/>
              <w:gridCol w:w="2040"/>
              <w:gridCol w:w="2040"/>
            </w:tblGrid>
            <w:tr w14:paraId="6FDF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FCE4E09">
                  <w:pPr>
                    <w:adjustRightInd w:val="0"/>
                    <w:snapToGrid w:val="0"/>
                    <w:spacing w:line="240" w:lineRule="auto"/>
                    <w:ind w:firstLine="0" w:firstLineChars="0"/>
                    <w:jc w:val="center"/>
                    <w:rPr>
                      <w:b/>
                      <w:bCs/>
                      <w:sz w:val="21"/>
                      <w:szCs w:val="21"/>
                    </w:rPr>
                  </w:pPr>
                  <w:r>
                    <w:rPr>
                      <w:b/>
                      <w:bCs/>
                      <w:sz w:val="21"/>
                      <w:szCs w:val="21"/>
                    </w:rPr>
                    <w:t>江段名称</w:t>
                  </w:r>
                </w:p>
              </w:tc>
              <w:tc>
                <w:tcPr>
                  <w:tcW w:w="1250" w:type="pct"/>
                </w:tcPr>
                <w:p w14:paraId="11244630">
                  <w:pPr>
                    <w:adjustRightInd w:val="0"/>
                    <w:snapToGrid w:val="0"/>
                    <w:spacing w:line="240" w:lineRule="auto"/>
                    <w:ind w:firstLine="0" w:firstLineChars="0"/>
                    <w:jc w:val="center"/>
                    <w:rPr>
                      <w:b/>
                      <w:bCs/>
                      <w:sz w:val="21"/>
                      <w:szCs w:val="21"/>
                    </w:rPr>
                  </w:pPr>
                  <w:r>
                    <w:rPr>
                      <w:b/>
                      <w:bCs/>
                      <w:sz w:val="21"/>
                      <w:szCs w:val="21"/>
                    </w:rPr>
                    <w:t>断面名称</w:t>
                  </w:r>
                </w:p>
              </w:tc>
              <w:tc>
                <w:tcPr>
                  <w:tcW w:w="1250" w:type="pct"/>
                </w:tcPr>
                <w:p w14:paraId="53287093">
                  <w:pPr>
                    <w:adjustRightInd w:val="0"/>
                    <w:snapToGrid w:val="0"/>
                    <w:spacing w:line="240" w:lineRule="auto"/>
                    <w:ind w:firstLine="0" w:firstLineChars="0"/>
                    <w:jc w:val="center"/>
                    <w:rPr>
                      <w:b/>
                      <w:bCs/>
                      <w:sz w:val="21"/>
                      <w:szCs w:val="21"/>
                    </w:rPr>
                  </w:pPr>
                  <w:r>
                    <w:rPr>
                      <w:b/>
                      <w:bCs/>
                      <w:sz w:val="21"/>
                      <w:szCs w:val="21"/>
                    </w:rPr>
                    <w:t>水质类别</w:t>
                  </w:r>
                </w:p>
              </w:tc>
              <w:tc>
                <w:tcPr>
                  <w:tcW w:w="1250" w:type="pct"/>
                </w:tcPr>
                <w:p w14:paraId="4785C868">
                  <w:pPr>
                    <w:adjustRightInd w:val="0"/>
                    <w:snapToGrid w:val="0"/>
                    <w:spacing w:line="240" w:lineRule="auto"/>
                    <w:ind w:firstLine="0" w:firstLineChars="0"/>
                    <w:jc w:val="center"/>
                    <w:rPr>
                      <w:b/>
                      <w:bCs/>
                      <w:sz w:val="21"/>
                      <w:szCs w:val="21"/>
                    </w:rPr>
                  </w:pPr>
                  <w:r>
                    <w:rPr>
                      <w:b/>
                      <w:bCs/>
                      <w:sz w:val="21"/>
                      <w:szCs w:val="21"/>
                    </w:rPr>
                    <w:t>达标情况</w:t>
                  </w:r>
                </w:p>
              </w:tc>
            </w:tr>
            <w:tr w14:paraId="6D10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14:paraId="6F0FBBF8">
                  <w:pPr>
                    <w:adjustRightInd w:val="0"/>
                    <w:snapToGrid w:val="0"/>
                    <w:spacing w:line="240" w:lineRule="auto"/>
                    <w:ind w:firstLine="0" w:firstLineChars="0"/>
                    <w:jc w:val="center"/>
                    <w:rPr>
                      <w:sz w:val="21"/>
                      <w:szCs w:val="21"/>
                    </w:rPr>
                  </w:pPr>
                  <w:r>
                    <w:rPr>
                      <w:sz w:val="21"/>
                      <w:szCs w:val="21"/>
                    </w:rPr>
                    <w:t>练江</w:t>
                  </w:r>
                </w:p>
              </w:tc>
              <w:tc>
                <w:tcPr>
                  <w:tcW w:w="1250" w:type="pct"/>
                  <w:vAlign w:val="center"/>
                </w:tcPr>
                <w:p w14:paraId="7691FFE3">
                  <w:pPr>
                    <w:adjustRightInd w:val="0"/>
                    <w:snapToGrid w:val="0"/>
                    <w:spacing w:line="240" w:lineRule="auto"/>
                    <w:ind w:firstLine="0" w:firstLineChars="0"/>
                    <w:jc w:val="center"/>
                    <w:rPr>
                      <w:sz w:val="21"/>
                      <w:szCs w:val="21"/>
                    </w:rPr>
                  </w:pPr>
                  <w:r>
                    <w:rPr>
                      <w:sz w:val="21"/>
                      <w:szCs w:val="21"/>
                    </w:rPr>
                    <w:t>和平桥</w:t>
                  </w:r>
                </w:p>
              </w:tc>
              <w:tc>
                <w:tcPr>
                  <w:tcW w:w="1250" w:type="pct"/>
                  <w:vAlign w:val="center"/>
                </w:tcPr>
                <w:p w14:paraId="5A4893FB">
                  <w:pPr>
                    <w:adjustRightInd w:val="0"/>
                    <w:snapToGrid w:val="0"/>
                    <w:spacing w:line="240" w:lineRule="auto"/>
                    <w:ind w:firstLine="0" w:firstLineChars="0"/>
                    <w:jc w:val="center"/>
                    <w:rPr>
                      <w:sz w:val="21"/>
                      <w:szCs w:val="21"/>
                    </w:rPr>
                  </w:pPr>
                  <w:r>
                    <w:rPr>
                      <w:sz w:val="21"/>
                      <w:szCs w:val="21"/>
                    </w:rPr>
                    <w:t>IV类</w:t>
                  </w:r>
                </w:p>
              </w:tc>
              <w:tc>
                <w:tcPr>
                  <w:tcW w:w="1250" w:type="pct"/>
                  <w:vAlign w:val="center"/>
                </w:tcPr>
                <w:p w14:paraId="0DB7CA12">
                  <w:pPr>
                    <w:adjustRightInd w:val="0"/>
                    <w:snapToGrid w:val="0"/>
                    <w:spacing w:line="240" w:lineRule="auto"/>
                    <w:ind w:firstLine="0" w:firstLineChars="0"/>
                    <w:jc w:val="center"/>
                    <w:rPr>
                      <w:sz w:val="21"/>
                      <w:szCs w:val="21"/>
                    </w:rPr>
                  </w:pPr>
                  <w:r>
                    <w:rPr>
                      <w:sz w:val="21"/>
                      <w:szCs w:val="21"/>
                    </w:rPr>
                    <w:t>达标</w:t>
                  </w:r>
                </w:p>
              </w:tc>
            </w:tr>
            <w:tr w14:paraId="1807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14:paraId="4351FC7A">
                  <w:pPr>
                    <w:adjustRightInd w:val="0"/>
                    <w:snapToGrid w:val="0"/>
                    <w:spacing w:line="240" w:lineRule="auto"/>
                    <w:ind w:firstLine="420"/>
                    <w:jc w:val="center"/>
                    <w:rPr>
                      <w:sz w:val="21"/>
                      <w:szCs w:val="21"/>
                    </w:rPr>
                  </w:pPr>
                </w:p>
              </w:tc>
              <w:tc>
                <w:tcPr>
                  <w:tcW w:w="1250" w:type="pct"/>
                  <w:vAlign w:val="center"/>
                </w:tcPr>
                <w:p w14:paraId="7A04BA81">
                  <w:pPr>
                    <w:adjustRightInd w:val="0"/>
                    <w:snapToGrid w:val="0"/>
                    <w:spacing w:line="240" w:lineRule="auto"/>
                    <w:ind w:firstLine="0" w:firstLineChars="0"/>
                    <w:jc w:val="center"/>
                    <w:rPr>
                      <w:sz w:val="21"/>
                      <w:szCs w:val="21"/>
                    </w:rPr>
                  </w:pPr>
                  <w:r>
                    <w:rPr>
                      <w:sz w:val="21"/>
                      <w:szCs w:val="21"/>
                    </w:rPr>
                    <w:t>海门湾桥闸</w:t>
                  </w:r>
                </w:p>
              </w:tc>
              <w:tc>
                <w:tcPr>
                  <w:tcW w:w="1250" w:type="pct"/>
                  <w:vAlign w:val="center"/>
                </w:tcPr>
                <w:p w14:paraId="1A85D7FC">
                  <w:pPr>
                    <w:adjustRightInd w:val="0"/>
                    <w:snapToGrid w:val="0"/>
                    <w:spacing w:line="240" w:lineRule="auto"/>
                    <w:ind w:firstLine="0" w:firstLineChars="0"/>
                    <w:jc w:val="center"/>
                    <w:rPr>
                      <w:sz w:val="21"/>
                      <w:szCs w:val="21"/>
                    </w:rPr>
                  </w:pPr>
                  <w:r>
                    <w:rPr>
                      <w:sz w:val="21"/>
                      <w:szCs w:val="21"/>
                    </w:rPr>
                    <w:t>IV类</w:t>
                  </w:r>
                </w:p>
              </w:tc>
              <w:tc>
                <w:tcPr>
                  <w:tcW w:w="1250" w:type="pct"/>
                  <w:vAlign w:val="center"/>
                </w:tcPr>
                <w:p w14:paraId="076EBFE1">
                  <w:pPr>
                    <w:adjustRightInd w:val="0"/>
                    <w:snapToGrid w:val="0"/>
                    <w:spacing w:line="240" w:lineRule="auto"/>
                    <w:ind w:firstLine="0" w:firstLineChars="0"/>
                    <w:jc w:val="center"/>
                    <w:rPr>
                      <w:sz w:val="21"/>
                      <w:szCs w:val="21"/>
                    </w:rPr>
                  </w:pPr>
                  <w:r>
                    <w:rPr>
                      <w:sz w:val="21"/>
                      <w:szCs w:val="21"/>
                    </w:rPr>
                    <w:t>达标</w:t>
                  </w:r>
                </w:p>
              </w:tc>
            </w:tr>
            <w:tr w14:paraId="58AA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14:paraId="240F7EA6">
                  <w:pPr>
                    <w:adjustRightInd w:val="0"/>
                    <w:snapToGrid w:val="0"/>
                    <w:spacing w:line="240" w:lineRule="auto"/>
                    <w:ind w:firstLine="420"/>
                    <w:jc w:val="center"/>
                    <w:rPr>
                      <w:sz w:val="21"/>
                      <w:szCs w:val="21"/>
                    </w:rPr>
                  </w:pPr>
                </w:p>
              </w:tc>
              <w:tc>
                <w:tcPr>
                  <w:tcW w:w="1250" w:type="pct"/>
                  <w:vAlign w:val="center"/>
                </w:tcPr>
                <w:p w14:paraId="11CCEDB9">
                  <w:pPr>
                    <w:adjustRightInd w:val="0"/>
                    <w:snapToGrid w:val="0"/>
                    <w:spacing w:line="240" w:lineRule="auto"/>
                    <w:ind w:firstLine="0" w:firstLineChars="0"/>
                    <w:jc w:val="center"/>
                    <w:rPr>
                      <w:sz w:val="21"/>
                      <w:szCs w:val="21"/>
                    </w:rPr>
                  </w:pPr>
                  <w:r>
                    <w:rPr>
                      <w:sz w:val="21"/>
                      <w:szCs w:val="21"/>
                    </w:rPr>
                    <w:t>河段平均（汕头）</w:t>
                  </w:r>
                </w:p>
              </w:tc>
              <w:tc>
                <w:tcPr>
                  <w:tcW w:w="1250" w:type="pct"/>
                  <w:vAlign w:val="center"/>
                </w:tcPr>
                <w:p w14:paraId="51E99C7B">
                  <w:pPr>
                    <w:adjustRightInd w:val="0"/>
                    <w:snapToGrid w:val="0"/>
                    <w:spacing w:line="240" w:lineRule="auto"/>
                    <w:ind w:firstLine="0" w:firstLineChars="0"/>
                    <w:jc w:val="center"/>
                    <w:rPr>
                      <w:sz w:val="21"/>
                      <w:szCs w:val="21"/>
                    </w:rPr>
                  </w:pPr>
                  <w:r>
                    <w:rPr>
                      <w:sz w:val="21"/>
                      <w:szCs w:val="21"/>
                    </w:rPr>
                    <w:t>IV类</w:t>
                  </w:r>
                </w:p>
              </w:tc>
              <w:tc>
                <w:tcPr>
                  <w:tcW w:w="1250" w:type="pct"/>
                  <w:vAlign w:val="center"/>
                </w:tcPr>
                <w:p w14:paraId="036BF7C5">
                  <w:pPr>
                    <w:adjustRightInd w:val="0"/>
                    <w:snapToGrid w:val="0"/>
                    <w:spacing w:line="240" w:lineRule="auto"/>
                    <w:ind w:firstLine="0" w:firstLineChars="0"/>
                    <w:jc w:val="center"/>
                    <w:rPr>
                      <w:sz w:val="21"/>
                      <w:szCs w:val="21"/>
                    </w:rPr>
                  </w:pPr>
                  <w:r>
                    <w:rPr>
                      <w:sz w:val="21"/>
                      <w:szCs w:val="21"/>
                    </w:rPr>
                    <w:t>达标</w:t>
                  </w:r>
                </w:p>
              </w:tc>
            </w:tr>
          </w:tbl>
          <w:p w14:paraId="5F9683A2">
            <w:pPr>
              <w:adjustRightInd w:val="0"/>
              <w:snapToGrid w:val="0"/>
              <w:spacing w:line="360" w:lineRule="auto"/>
              <w:ind w:firstLine="0" w:firstLineChars="0"/>
              <w:rPr>
                <w:rFonts w:hint="eastAsia" w:eastAsia="宋体"/>
                <w:kern w:val="0"/>
                <w:szCs w:val="22"/>
                <w:lang w:eastAsia="zh-CN"/>
              </w:rPr>
            </w:pPr>
            <w:r>
              <w:rPr>
                <w:kern w:val="0"/>
                <w:szCs w:val="22"/>
              </w:rPr>
              <w:t>注：数据来源于2023年汕头市生态环境状况公报</w:t>
            </w:r>
            <w:r>
              <w:rPr>
                <w:rFonts w:hint="eastAsia"/>
                <w:kern w:val="0"/>
                <w:szCs w:val="22"/>
                <w:lang w:eastAsia="zh-CN"/>
              </w:rPr>
              <w:t>。</w:t>
            </w:r>
          </w:p>
          <w:p w14:paraId="5AA42A37">
            <w:pPr>
              <w:adjustRightInd w:val="0"/>
              <w:snapToGrid w:val="0"/>
              <w:spacing w:line="360" w:lineRule="auto"/>
              <w:ind w:firstLine="482"/>
              <w:rPr>
                <w:b/>
                <w:bCs/>
                <w:szCs w:val="32"/>
              </w:rPr>
            </w:pPr>
            <w:r>
              <w:rPr>
                <w:b/>
                <w:bCs/>
                <w:szCs w:val="32"/>
              </w:rPr>
              <w:t>3、声环境现状调查与评价</w:t>
            </w:r>
          </w:p>
          <w:p w14:paraId="7174730D">
            <w:pPr>
              <w:adjustRightInd w:val="0"/>
              <w:snapToGrid w:val="0"/>
              <w:spacing w:line="360" w:lineRule="auto"/>
              <w:ind w:firstLine="480"/>
              <w:rPr>
                <w:rStyle w:val="38"/>
                <w:kern w:val="0"/>
                <w:szCs w:val="20"/>
              </w:rPr>
            </w:pPr>
            <w:r>
              <w:rPr>
                <w:kern w:val="0"/>
                <w:szCs w:val="22"/>
              </w:rPr>
              <w:t>根据《关于印发汕头市声环境功能区划调整方案（2019年）的通知》（汕府办</w:t>
            </w:r>
            <w:r>
              <w:rPr>
                <w:rFonts w:eastAsia="仿宋_GB2312"/>
                <w:kern w:val="0"/>
                <w:szCs w:val="22"/>
              </w:rPr>
              <w:t>〔</w:t>
            </w:r>
            <w:r>
              <w:rPr>
                <w:kern w:val="0"/>
                <w:szCs w:val="22"/>
              </w:rPr>
              <w:t>2019）7号，项目</w:t>
            </w:r>
            <w:r>
              <w:rPr>
                <w:rFonts w:hint="eastAsia"/>
                <w:kern w:val="0"/>
                <w:szCs w:val="22"/>
                <w:lang w:val="en-US" w:eastAsia="zh-CN"/>
              </w:rPr>
              <w:t>所在地</w:t>
            </w:r>
            <w:r>
              <w:rPr>
                <w:kern w:val="0"/>
                <w:szCs w:val="22"/>
              </w:rPr>
              <w:t>属于</w:t>
            </w:r>
            <w:r>
              <w:rPr>
                <w:rFonts w:hint="eastAsia"/>
                <w:kern w:val="0"/>
                <w:szCs w:val="22"/>
                <w:lang w:val="en-US" w:eastAsia="zh-CN"/>
              </w:rPr>
              <w:t>2</w:t>
            </w:r>
            <w:r>
              <w:rPr>
                <w:kern w:val="0"/>
                <w:szCs w:val="22"/>
              </w:rPr>
              <w:t>类声功能区。见附图</w:t>
            </w:r>
            <w:r>
              <w:rPr>
                <w:rFonts w:hint="eastAsia"/>
                <w:kern w:val="0"/>
                <w:szCs w:val="22"/>
                <w:lang w:val="en-US" w:eastAsia="zh-CN"/>
              </w:rPr>
              <w:t>9</w:t>
            </w:r>
            <w:r>
              <w:rPr>
                <w:kern w:val="0"/>
                <w:szCs w:val="22"/>
              </w:rPr>
              <w:t>。根据现场调查，本项目周边50米不存在声环境保护目标。</w:t>
            </w:r>
          </w:p>
          <w:p w14:paraId="77A51691">
            <w:pPr>
              <w:adjustRightInd w:val="0"/>
              <w:snapToGrid w:val="0"/>
              <w:spacing w:line="360" w:lineRule="auto"/>
              <w:ind w:firstLine="482"/>
              <w:rPr>
                <w:b/>
                <w:bCs/>
                <w:szCs w:val="32"/>
              </w:rPr>
            </w:pPr>
            <w:r>
              <w:rPr>
                <w:b/>
                <w:bCs/>
                <w:szCs w:val="32"/>
              </w:rPr>
              <w:t>4、生态环境现状</w:t>
            </w:r>
          </w:p>
          <w:p w14:paraId="3F33CECA">
            <w:pPr>
              <w:adjustRightInd w:val="0"/>
              <w:snapToGrid w:val="0"/>
              <w:spacing w:line="360" w:lineRule="auto"/>
              <w:ind w:firstLine="480"/>
              <w:rPr>
                <w:kern w:val="0"/>
                <w:szCs w:val="22"/>
              </w:rPr>
            </w:pPr>
            <w:r>
              <w:rPr>
                <w:kern w:val="0"/>
                <w:szCs w:val="22"/>
              </w:rPr>
              <w:t>项目所在地周边主要为工业与居民城市混合区，项目为租赁现有厂房进行生产，用地范围内无生态保护目标，不需进行生态现状调查。</w:t>
            </w:r>
          </w:p>
          <w:p w14:paraId="3E0CE53C">
            <w:pPr>
              <w:adjustRightInd w:val="0"/>
              <w:snapToGrid w:val="0"/>
              <w:spacing w:line="360" w:lineRule="auto"/>
              <w:ind w:firstLine="482"/>
              <w:rPr>
                <w:b/>
                <w:bCs/>
                <w:szCs w:val="32"/>
              </w:rPr>
            </w:pPr>
            <w:r>
              <w:rPr>
                <w:b/>
                <w:bCs/>
                <w:szCs w:val="32"/>
              </w:rPr>
              <w:t>5、电磁辐射</w:t>
            </w:r>
          </w:p>
          <w:p w14:paraId="5FECD830">
            <w:pPr>
              <w:adjustRightInd w:val="0"/>
              <w:snapToGrid w:val="0"/>
              <w:spacing w:line="360" w:lineRule="auto"/>
              <w:ind w:firstLine="480"/>
              <w:rPr>
                <w:kern w:val="0"/>
                <w:szCs w:val="22"/>
              </w:rPr>
            </w:pPr>
            <w:r>
              <w:rPr>
                <w:kern w:val="0"/>
                <w:szCs w:val="22"/>
              </w:rPr>
              <w:t>项目不属于广播电台、差转台、电视塔台、卫星地球上行站、雷达等电磁辐射类项目。</w:t>
            </w:r>
          </w:p>
          <w:p w14:paraId="7B31F4BF">
            <w:pPr>
              <w:adjustRightInd w:val="0"/>
              <w:snapToGrid w:val="0"/>
              <w:spacing w:line="360" w:lineRule="auto"/>
              <w:ind w:firstLine="482"/>
              <w:rPr>
                <w:b/>
                <w:bCs/>
                <w:szCs w:val="32"/>
              </w:rPr>
            </w:pPr>
            <w:r>
              <w:rPr>
                <w:b/>
                <w:bCs/>
                <w:szCs w:val="32"/>
              </w:rPr>
              <w:t>6、地下水、土壤环境质量现状</w:t>
            </w:r>
          </w:p>
          <w:p w14:paraId="158C0209">
            <w:pPr>
              <w:adjustRightInd w:val="0"/>
              <w:snapToGrid w:val="0"/>
              <w:spacing w:line="360" w:lineRule="auto"/>
              <w:ind w:firstLine="480"/>
              <w:rPr>
                <w:kern w:val="0"/>
                <w:szCs w:val="22"/>
              </w:rPr>
            </w:pPr>
            <w:r>
              <w:rPr>
                <w:kern w:val="0"/>
                <w:szCs w:val="22"/>
              </w:rPr>
              <w:t>根据指南要求，地下水、土壤环境，原则上不开展环境质量现状调查。结合现场调查及工艺分析。本项目为</w:t>
            </w:r>
            <w:r>
              <w:rPr>
                <w:rFonts w:hint="eastAsia"/>
                <w:kern w:val="0"/>
                <w:szCs w:val="22"/>
                <w:lang w:val="en-US" w:eastAsia="zh-CN"/>
              </w:rPr>
              <w:t>化学助剂生产</w:t>
            </w:r>
            <w:r>
              <w:rPr>
                <w:kern w:val="0"/>
                <w:szCs w:val="22"/>
              </w:rPr>
              <w:t>项目，主要土壤及地下水污染源为</w:t>
            </w:r>
            <w:r>
              <w:rPr>
                <w:rFonts w:hint="eastAsia"/>
                <w:kern w:val="0"/>
                <w:szCs w:val="22"/>
                <w:lang w:val="en-US" w:eastAsia="zh-CN"/>
              </w:rPr>
              <w:t>生产车间、罐区</w:t>
            </w:r>
            <w:r>
              <w:rPr>
                <w:kern w:val="0"/>
                <w:szCs w:val="22"/>
              </w:rPr>
              <w:t>等，项目</w:t>
            </w:r>
            <w:r>
              <w:rPr>
                <w:rFonts w:hint="eastAsia"/>
                <w:kern w:val="0"/>
                <w:szCs w:val="22"/>
                <w:lang w:val="en-US" w:eastAsia="zh-CN"/>
              </w:rPr>
              <w:t>生产车间及罐区</w:t>
            </w:r>
            <w:r>
              <w:rPr>
                <w:kern w:val="0"/>
                <w:szCs w:val="22"/>
              </w:rPr>
              <w:t>底部和四周均采用硬化及防水涂料等防渗措施，</w:t>
            </w:r>
            <w:r>
              <w:rPr>
                <w:rFonts w:hint="eastAsia"/>
                <w:kern w:val="0"/>
                <w:szCs w:val="22"/>
              </w:rPr>
              <w:t>罐区设有导流沟和围堰用于收集泄露的工业白油。</w:t>
            </w:r>
            <w:r>
              <w:rPr>
                <w:kern w:val="0"/>
                <w:szCs w:val="22"/>
              </w:rPr>
              <w:t>危废暂存间均按照相关规范要求做好防渗防漏措施。因此项目不存在土壤、地下水污染途径，故不开展地下水和土壤现状调查。</w:t>
            </w:r>
          </w:p>
        </w:tc>
      </w:tr>
      <w:tr w14:paraId="42D11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5" w:type="dxa"/>
            <w:vAlign w:val="center"/>
          </w:tcPr>
          <w:p w14:paraId="544A4EA2">
            <w:pPr>
              <w:adjustRightInd w:val="0"/>
              <w:snapToGrid w:val="0"/>
              <w:spacing w:line="240" w:lineRule="auto"/>
              <w:ind w:firstLine="0" w:firstLineChars="0"/>
              <w:jc w:val="center"/>
              <w:rPr>
                <w:b/>
                <w:bCs/>
                <w:kern w:val="0"/>
                <w:sz w:val="28"/>
                <w:szCs w:val="28"/>
              </w:rPr>
            </w:pPr>
            <w:r>
              <w:rPr>
                <w:b/>
                <w:bCs/>
                <w:kern w:val="0"/>
                <w:sz w:val="28"/>
                <w:szCs w:val="28"/>
              </w:rPr>
              <w:t>环境</w:t>
            </w:r>
          </w:p>
          <w:p w14:paraId="7D8FCDDB">
            <w:pPr>
              <w:adjustRightInd w:val="0"/>
              <w:snapToGrid w:val="0"/>
              <w:spacing w:line="240" w:lineRule="auto"/>
              <w:ind w:firstLine="0" w:firstLineChars="0"/>
              <w:jc w:val="center"/>
              <w:rPr>
                <w:b/>
                <w:bCs/>
                <w:kern w:val="0"/>
                <w:sz w:val="28"/>
                <w:szCs w:val="28"/>
              </w:rPr>
            </w:pPr>
            <w:r>
              <w:rPr>
                <w:b/>
                <w:bCs/>
                <w:kern w:val="0"/>
                <w:sz w:val="28"/>
                <w:szCs w:val="28"/>
              </w:rPr>
              <w:t>保护</w:t>
            </w:r>
          </w:p>
          <w:p w14:paraId="0045B933">
            <w:pPr>
              <w:adjustRightInd w:val="0"/>
              <w:snapToGrid w:val="0"/>
              <w:spacing w:line="240" w:lineRule="auto"/>
              <w:ind w:firstLine="0" w:firstLineChars="0"/>
              <w:jc w:val="center"/>
              <w:rPr>
                <w:kern w:val="0"/>
                <w:szCs w:val="21"/>
              </w:rPr>
            </w:pPr>
            <w:r>
              <w:rPr>
                <w:b/>
                <w:bCs/>
                <w:kern w:val="0"/>
                <w:sz w:val="28"/>
                <w:szCs w:val="28"/>
              </w:rPr>
              <w:t>目标</w:t>
            </w:r>
          </w:p>
        </w:tc>
        <w:tc>
          <w:tcPr>
            <w:tcW w:w="8386" w:type="dxa"/>
            <w:vAlign w:val="center"/>
          </w:tcPr>
          <w:p w14:paraId="120A0283">
            <w:pPr>
              <w:adjustRightInd w:val="0"/>
              <w:snapToGrid w:val="0"/>
              <w:spacing w:line="360" w:lineRule="auto"/>
              <w:ind w:firstLine="482"/>
              <w:rPr>
                <w:b/>
                <w:bCs/>
                <w:szCs w:val="32"/>
              </w:rPr>
            </w:pPr>
            <w:r>
              <w:rPr>
                <w:b/>
                <w:bCs/>
                <w:szCs w:val="32"/>
              </w:rPr>
              <w:t>1、环境空气保护目标</w:t>
            </w:r>
          </w:p>
          <w:p w14:paraId="41041828">
            <w:pPr>
              <w:adjustRightInd w:val="0"/>
              <w:snapToGrid w:val="0"/>
              <w:spacing w:line="360" w:lineRule="auto"/>
              <w:ind w:firstLine="480"/>
              <w:rPr>
                <w:color w:val="FF0000"/>
                <w:kern w:val="0"/>
                <w:szCs w:val="22"/>
              </w:rPr>
            </w:pPr>
            <w:r>
              <w:rPr>
                <w:kern w:val="0"/>
                <w:szCs w:val="22"/>
              </w:rPr>
              <w:t>本项目位于</w:t>
            </w:r>
            <w:r>
              <w:rPr>
                <w:rFonts w:hint="eastAsia"/>
              </w:rPr>
              <w:t>汕头市潮阳区文光街道双望居委白竹洋</w:t>
            </w:r>
            <w:r>
              <w:rPr>
                <w:kern w:val="0"/>
                <w:szCs w:val="22"/>
              </w:rPr>
              <w:t>，厂界外500m范围内的大气环境敏感点主要为居民区，环境空气保护目标见表3-</w:t>
            </w:r>
            <w:r>
              <w:rPr>
                <w:rFonts w:hint="eastAsia"/>
                <w:kern w:val="0"/>
                <w:szCs w:val="22"/>
                <w:lang w:val="en-US" w:eastAsia="zh-CN"/>
              </w:rPr>
              <w:t>5</w:t>
            </w:r>
            <w:r>
              <w:rPr>
                <w:kern w:val="0"/>
                <w:szCs w:val="22"/>
              </w:rPr>
              <w:t>，附图</w:t>
            </w:r>
            <w:r>
              <w:rPr>
                <w:rFonts w:hint="eastAsia"/>
                <w:kern w:val="0"/>
                <w:szCs w:val="22"/>
                <w:lang w:val="en-US" w:eastAsia="zh-CN"/>
              </w:rPr>
              <w:t>6</w:t>
            </w:r>
            <w:r>
              <w:rPr>
                <w:kern w:val="0"/>
                <w:szCs w:val="22"/>
              </w:rPr>
              <w:t>。</w:t>
            </w:r>
          </w:p>
          <w:p w14:paraId="14C70AAA">
            <w:pPr>
              <w:spacing w:line="240" w:lineRule="auto"/>
              <w:ind w:firstLine="0" w:firstLineChars="0"/>
              <w:jc w:val="center"/>
              <w:rPr>
                <w:b/>
                <w:bCs/>
                <w:szCs w:val="21"/>
              </w:rPr>
            </w:pPr>
            <w:r>
              <w:rPr>
                <w:b/>
                <w:bCs/>
                <w:szCs w:val="21"/>
              </w:rPr>
              <w:t>表3-</w:t>
            </w:r>
            <w:r>
              <w:rPr>
                <w:rFonts w:hint="eastAsia"/>
                <w:b/>
                <w:bCs/>
                <w:szCs w:val="21"/>
                <w:lang w:val="en-US" w:eastAsia="zh-CN"/>
              </w:rPr>
              <w:t>5</w:t>
            </w:r>
            <w:r>
              <w:rPr>
                <w:b/>
                <w:bCs/>
                <w:szCs w:val="21"/>
              </w:rPr>
              <w:t>本项目环境空气保护目标一览表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43"/>
              <w:gridCol w:w="1073"/>
              <w:gridCol w:w="1056"/>
              <w:gridCol w:w="1056"/>
              <w:gridCol w:w="1476"/>
              <w:gridCol w:w="1640"/>
            </w:tblGrid>
            <w:tr w14:paraId="0839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vAlign w:val="center"/>
                </w:tcPr>
                <w:p w14:paraId="6DE452CB">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名称</w:t>
                  </w:r>
                </w:p>
              </w:tc>
              <w:tc>
                <w:tcPr>
                  <w:tcW w:w="2016" w:type="dxa"/>
                  <w:gridSpan w:val="2"/>
                  <w:vAlign w:val="center"/>
                </w:tcPr>
                <w:p w14:paraId="69297468">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eastAsia="宋体"/>
                      <w:kern w:val="24"/>
                      <w:sz w:val="21"/>
                      <w:szCs w:val="21"/>
                      <w:lang w:val="en-US" w:eastAsia="zh-CN"/>
                    </w:rPr>
                  </w:pPr>
                  <w:r>
                    <w:rPr>
                      <w:kern w:val="24"/>
                      <w:sz w:val="21"/>
                      <w:szCs w:val="21"/>
                    </w:rPr>
                    <w:t>坐标</w:t>
                  </w:r>
                  <w:r>
                    <w:rPr>
                      <w:rFonts w:hint="eastAsia"/>
                      <w:kern w:val="24"/>
                      <w:sz w:val="21"/>
                      <w:szCs w:val="21"/>
                      <w:lang w:val="en-US" w:eastAsia="zh-CN"/>
                    </w:rPr>
                    <w:t>m</w:t>
                  </w:r>
                </w:p>
              </w:tc>
              <w:tc>
                <w:tcPr>
                  <w:tcW w:w="1056" w:type="dxa"/>
                  <w:vMerge w:val="restart"/>
                  <w:vAlign w:val="center"/>
                </w:tcPr>
                <w:p w14:paraId="78AD5F14">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保护对象</w:t>
                  </w:r>
                </w:p>
              </w:tc>
              <w:tc>
                <w:tcPr>
                  <w:tcW w:w="1056" w:type="dxa"/>
                  <w:vMerge w:val="restart"/>
                  <w:vAlign w:val="center"/>
                </w:tcPr>
                <w:p w14:paraId="2F124F99">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保护内容</w:t>
                  </w:r>
                </w:p>
              </w:tc>
              <w:tc>
                <w:tcPr>
                  <w:tcW w:w="1476" w:type="dxa"/>
                  <w:vMerge w:val="restart"/>
                  <w:vAlign w:val="center"/>
                </w:tcPr>
                <w:p w14:paraId="19984BE4">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相对厂址方位</w:t>
                  </w:r>
                </w:p>
              </w:tc>
              <w:tc>
                <w:tcPr>
                  <w:tcW w:w="1640" w:type="dxa"/>
                  <w:vMerge w:val="restart"/>
                  <w:vAlign w:val="center"/>
                </w:tcPr>
                <w:p w14:paraId="2DB8ADDE">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相对厂界距离m</w:t>
                  </w:r>
                </w:p>
              </w:tc>
            </w:tr>
            <w:tr w14:paraId="6840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vAlign w:val="center"/>
                </w:tcPr>
                <w:p w14:paraId="45422191">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p>
              </w:tc>
              <w:tc>
                <w:tcPr>
                  <w:tcW w:w="943" w:type="dxa"/>
                  <w:vAlign w:val="center"/>
                </w:tcPr>
                <w:p w14:paraId="788F327A">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X</w:t>
                  </w:r>
                </w:p>
              </w:tc>
              <w:tc>
                <w:tcPr>
                  <w:tcW w:w="802" w:type="dxa"/>
                  <w:vAlign w:val="center"/>
                </w:tcPr>
                <w:p w14:paraId="145F6771">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Y</w:t>
                  </w:r>
                </w:p>
              </w:tc>
              <w:tc>
                <w:tcPr>
                  <w:tcW w:w="1056" w:type="dxa"/>
                  <w:vMerge w:val="continue"/>
                  <w:vAlign w:val="center"/>
                </w:tcPr>
                <w:p w14:paraId="0C1FA359">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p>
              </w:tc>
              <w:tc>
                <w:tcPr>
                  <w:tcW w:w="1056" w:type="dxa"/>
                  <w:vMerge w:val="continue"/>
                  <w:vAlign w:val="center"/>
                </w:tcPr>
                <w:p w14:paraId="2A7528A3">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p>
              </w:tc>
              <w:tc>
                <w:tcPr>
                  <w:tcW w:w="1476" w:type="dxa"/>
                  <w:vMerge w:val="continue"/>
                  <w:vAlign w:val="center"/>
                </w:tcPr>
                <w:p w14:paraId="6C73A432">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p>
              </w:tc>
              <w:tc>
                <w:tcPr>
                  <w:tcW w:w="1640" w:type="dxa"/>
                  <w:vMerge w:val="continue"/>
                  <w:vAlign w:val="center"/>
                </w:tcPr>
                <w:p w14:paraId="29C33535">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p>
              </w:tc>
            </w:tr>
            <w:tr w14:paraId="1A7F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5BFC0AFA">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eastAsia="宋体"/>
                      <w:kern w:val="24"/>
                      <w:sz w:val="21"/>
                      <w:szCs w:val="21"/>
                      <w:lang w:eastAsia="zh-CN"/>
                    </w:rPr>
                  </w:pPr>
                  <w:r>
                    <w:rPr>
                      <w:rFonts w:hint="eastAsia"/>
                      <w:kern w:val="24"/>
                      <w:sz w:val="21"/>
                      <w:szCs w:val="21"/>
                      <w:lang w:val="en-US" w:eastAsia="zh-CN"/>
                    </w:rPr>
                    <w:t>玉竹园</w:t>
                  </w:r>
                </w:p>
              </w:tc>
              <w:tc>
                <w:tcPr>
                  <w:tcW w:w="943" w:type="dxa"/>
                  <w:vAlign w:val="center"/>
                </w:tcPr>
                <w:p w14:paraId="4DA0FF40">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eastAsia="宋体"/>
                      <w:kern w:val="24"/>
                      <w:sz w:val="21"/>
                      <w:szCs w:val="21"/>
                      <w:lang w:val="en-US" w:eastAsia="zh-CN"/>
                    </w:rPr>
                  </w:pPr>
                  <w:r>
                    <w:rPr>
                      <w:rFonts w:hint="eastAsia"/>
                      <w:kern w:val="24"/>
                      <w:sz w:val="21"/>
                      <w:szCs w:val="21"/>
                      <w:lang w:val="en-US" w:eastAsia="zh-CN"/>
                    </w:rPr>
                    <w:t>-72</w:t>
                  </w:r>
                </w:p>
              </w:tc>
              <w:tc>
                <w:tcPr>
                  <w:tcW w:w="802" w:type="dxa"/>
                  <w:vAlign w:val="center"/>
                </w:tcPr>
                <w:p w14:paraId="5EFF48B7">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eastAsia="宋体"/>
                      <w:kern w:val="24"/>
                      <w:sz w:val="21"/>
                      <w:szCs w:val="21"/>
                      <w:lang w:val="en-US" w:eastAsia="zh-CN"/>
                    </w:rPr>
                  </w:pPr>
                  <w:r>
                    <w:rPr>
                      <w:rFonts w:hint="eastAsia"/>
                      <w:kern w:val="24"/>
                      <w:sz w:val="21"/>
                      <w:szCs w:val="21"/>
                      <w:lang w:val="en-US" w:eastAsia="zh-CN"/>
                    </w:rPr>
                    <w:t>93</w:t>
                  </w:r>
                </w:p>
              </w:tc>
              <w:tc>
                <w:tcPr>
                  <w:tcW w:w="1056" w:type="dxa"/>
                  <w:vAlign w:val="center"/>
                </w:tcPr>
                <w:p w14:paraId="45ECB852">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居民区</w:t>
                  </w:r>
                </w:p>
              </w:tc>
              <w:tc>
                <w:tcPr>
                  <w:tcW w:w="1056" w:type="dxa"/>
                  <w:vAlign w:val="center"/>
                </w:tcPr>
                <w:p w14:paraId="5630BA05">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大气环境</w:t>
                  </w:r>
                </w:p>
              </w:tc>
              <w:tc>
                <w:tcPr>
                  <w:tcW w:w="1476" w:type="dxa"/>
                  <w:vAlign w:val="center"/>
                </w:tcPr>
                <w:p w14:paraId="43A7331C">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rFonts w:hint="eastAsia"/>
                      <w:kern w:val="24"/>
                      <w:sz w:val="21"/>
                      <w:szCs w:val="21"/>
                      <w:lang w:val="en-US" w:eastAsia="zh-CN"/>
                    </w:rPr>
                    <w:t>N</w:t>
                  </w:r>
                  <w:r>
                    <w:rPr>
                      <w:kern w:val="24"/>
                      <w:sz w:val="21"/>
                      <w:szCs w:val="21"/>
                    </w:rPr>
                    <w:t>W</w:t>
                  </w:r>
                </w:p>
              </w:tc>
              <w:tc>
                <w:tcPr>
                  <w:tcW w:w="1640" w:type="dxa"/>
                  <w:vAlign w:val="center"/>
                </w:tcPr>
                <w:p w14:paraId="3698647A">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eastAsia="宋体"/>
                      <w:kern w:val="24"/>
                      <w:sz w:val="21"/>
                      <w:szCs w:val="21"/>
                      <w:lang w:val="en-US" w:eastAsia="zh-CN"/>
                    </w:rPr>
                  </w:pPr>
                  <w:r>
                    <w:rPr>
                      <w:rFonts w:hint="eastAsia"/>
                      <w:kern w:val="24"/>
                      <w:sz w:val="21"/>
                      <w:szCs w:val="21"/>
                      <w:lang w:val="en-US" w:eastAsia="zh-CN"/>
                    </w:rPr>
                    <w:t>154</w:t>
                  </w:r>
                </w:p>
              </w:tc>
            </w:tr>
            <w:tr w14:paraId="0B43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37894E3D">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eastAsia="宋体"/>
                      <w:kern w:val="24"/>
                      <w:sz w:val="21"/>
                      <w:szCs w:val="21"/>
                      <w:lang w:val="en-US" w:eastAsia="zh-CN"/>
                    </w:rPr>
                  </w:pPr>
                  <w:r>
                    <w:rPr>
                      <w:rFonts w:hint="eastAsia"/>
                      <w:kern w:val="24"/>
                      <w:sz w:val="21"/>
                      <w:szCs w:val="21"/>
                      <w:lang w:val="en-US" w:eastAsia="zh-CN"/>
                    </w:rPr>
                    <w:t>华竹园</w:t>
                  </w:r>
                </w:p>
              </w:tc>
              <w:tc>
                <w:tcPr>
                  <w:tcW w:w="943" w:type="dxa"/>
                  <w:vAlign w:val="center"/>
                </w:tcPr>
                <w:p w14:paraId="252D7C24">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eastAsia="宋体"/>
                      <w:kern w:val="24"/>
                      <w:sz w:val="21"/>
                      <w:szCs w:val="21"/>
                      <w:lang w:val="en-US" w:eastAsia="zh-CN"/>
                    </w:rPr>
                  </w:pPr>
                  <w:r>
                    <w:rPr>
                      <w:rFonts w:hint="eastAsia"/>
                      <w:kern w:val="24"/>
                      <w:sz w:val="21"/>
                      <w:szCs w:val="21"/>
                      <w:lang w:val="en-US" w:eastAsia="zh-CN"/>
                    </w:rPr>
                    <w:t>-184</w:t>
                  </w:r>
                </w:p>
              </w:tc>
              <w:tc>
                <w:tcPr>
                  <w:tcW w:w="802" w:type="dxa"/>
                  <w:vAlign w:val="center"/>
                </w:tcPr>
                <w:p w14:paraId="4C453EDD">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rFonts w:hint="eastAsia"/>
                      <w:kern w:val="24"/>
                      <w:sz w:val="21"/>
                      <w:szCs w:val="21"/>
                      <w:lang w:val="en-US" w:eastAsia="zh-CN"/>
                    </w:rPr>
                    <w:t>-66</w:t>
                  </w:r>
                </w:p>
              </w:tc>
              <w:tc>
                <w:tcPr>
                  <w:tcW w:w="1056" w:type="dxa"/>
                  <w:vAlign w:val="center"/>
                </w:tcPr>
                <w:p w14:paraId="18A7DC35">
                  <w:pPr>
                    <w:widowControl/>
                    <w:autoSpaceDE w:val="0"/>
                    <w:autoSpaceDN w:val="0"/>
                    <w:adjustRightInd w:val="0"/>
                    <w:snapToGrid w:val="0"/>
                    <w:spacing w:line="240" w:lineRule="auto"/>
                    <w:ind w:left="0" w:leftChars="0" w:firstLine="0" w:firstLineChars="0"/>
                    <w:jc w:val="center"/>
                    <w:textAlignment w:val="baseline"/>
                    <w:outlineLvl w:val="1"/>
                    <w:rPr>
                      <w:kern w:val="24"/>
                      <w:sz w:val="21"/>
                      <w:szCs w:val="21"/>
                    </w:rPr>
                  </w:pPr>
                  <w:r>
                    <w:rPr>
                      <w:kern w:val="24"/>
                      <w:sz w:val="21"/>
                      <w:szCs w:val="21"/>
                    </w:rPr>
                    <w:t>居民区</w:t>
                  </w:r>
                </w:p>
              </w:tc>
              <w:tc>
                <w:tcPr>
                  <w:tcW w:w="1056" w:type="dxa"/>
                  <w:vAlign w:val="center"/>
                </w:tcPr>
                <w:p w14:paraId="62826ACA">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大气环境</w:t>
                  </w:r>
                </w:p>
              </w:tc>
              <w:tc>
                <w:tcPr>
                  <w:tcW w:w="1476" w:type="dxa"/>
                  <w:vAlign w:val="center"/>
                </w:tcPr>
                <w:p w14:paraId="0A538B39">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rFonts w:hint="eastAsia"/>
                      <w:kern w:val="24"/>
                      <w:sz w:val="21"/>
                      <w:szCs w:val="21"/>
                      <w:lang w:val="en-US" w:eastAsia="zh-CN"/>
                    </w:rPr>
                    <w:t>S</w:t>
                  </w:r>
                  <w:r>
                    <w:rPr>
                      <w:kern w:val="24"/>
                      <w:sz w:val="21"/>
                      <w:szCs w:val="21"/>
                    </w:rPr>
                    <w:t>W</w:t>
                  </w:r>
                </w:p>
              </w:tc>
              <w:tc>
                <w:tcPr>
                  <w:tcW w:w="1640" w:type="dxa"/>
                  <w:vAlign w:val="center"/>
                </w:tcPr>
                <w:p w14:paraId="7801D37E">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eastAsia="宋体"/>
                      <w:kern w:val="24"/>
                      <w:sz w:val="21"/>
                      <w:szCs w:val="21"/>
                      <w:lang w:val="en-US" w:eastAsia="zh-CN"/>
                    </w:rPr>
                  </w:pPr>
                  <w:r>
                    <w:rPr>
                      <w:rFonts w:hint="eastAsia"/>
                      <w:kern w:val="24"/>
                      <w:sz w:val="21"/>
                      <w:szCs w:val="21"/>
                      <w:lang w:val="en-US" w:eastAsia="zh-CN"/>
                    </w:rPr>
                    <w:t>226</w:t>
                  </w:r>
                </w:p>
              </w:tc>
            </w:tr>
            <w:tr w14:paraId="0AED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2E07C7EF">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eastAsia="宋体"/>
                      <w:kern w:val="24"/>
                      <w:sz w:val="21"/>
                      <w:szCs w:val="21"/>
                      <w:lang w:val="en-US" w:eastAsia="zh-CN"/>
                    </w:rPr>
                  </w:pPr>
                  <w:r>
                    <w:rPr>
                      <w:rFonts w:hint="eastAsia"/>
                      <w:kern w:val="24"/>
                      <w:sz w:val="21"/>
                      <w:szCs w:val="21"/>
                      <w:lang w:val="en-US" w:eastAsia="zh-CN"/>
                    </w:rPr>
                    <w:t>桂竹园</w:t>
                  </w:r>
                </w:p>
              </w:tc>
              <w:tc>
                <w:tcPr>
                  <w:tcW w:w="943" w:type="dxa"/>
                  <w:vAlign w:val="center"/>
                </w:tcPr>
                <w:p w14:paraId="795BED91">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eastAsia="宋体"/>
                      <w:kern w:val="24"/>
                      <w:sz w:val="21"/>
                      <w:szCs w:val="21"/>
                      <w:lang w:val="en-US" w:eastAsia="zh-CN"/>
                    </w:rPr>
                  </w:pPr>
                  <w:r>
                    <w:rPr>
                      <w:rFonts w:hint="eastAsia"/>
                      <w:kern w:val="24"/>
                      <w:sz w:val="21"/>
                      <w:szCs w:val="21"/>
                      <w:lang w:val="en-US" w:eastAsia="zh-CN"/>
                    </w:rPr>
                    <w:t>-417</w:t>
                  </w:r>
                </w:p>
              </w:tc>
              <w:tc>
                <w:tcPr>
                  <w:tcW w:w="802" w:type="dxa"/>
                  <w:vAlign w:val="center"/>
                </w:tcPr>
                <w:p w14:paraId="537C6EC6">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rFonts w:hint="eastAsia"/>
                      <w:kern w:val="24"/>
                      <w:sz w:val="21"/>
                      <w:szCs w:val="21"/>
                      <w:lang w:val="en-US" w:eastAsia="zh-CN"/>
                    </w:rPr>
                    <w:t>-22</w:t>
                  </w:r>
                </w:p>
              </w:tc>
              <w:tc>
                <w:tcPr>
                  <w:tcW w:w="1056" w:type="dxa"/>
                  <w:vAlign w:val="center"/>
                </w:tcPr>
                <w:p w14:paraId="6DDAEB20">
                  <w:pPr>
                    <w:widowControl/>
                    <w:autoSpaceDE w:val="0"/>
                    <w:autoSpaceDN w:val="0"/>
                    <w:adjustRightInd w:val="0"/>
                    <w:snapToGrid w:val="0"/>
                    <w:spacing w:line="240" w:lineRule="auto"/>
                    <w:ind w:left="0" w:leftChars="0" w:firstLine="0" w:firstLineChars="0"/>
                    <w:jc w:val="center"/>
                    <w:textAlignment w:val="baseline"/>
                    <w:outlineLvl w:val="1"/>
                    <w:rPr>
                      <w:kern w:val="24"/>
                      <w:sz w:val="21"/>
                      <w:szCs w:val="21"/>
                    </w:rPr>
                  </w:pPr>
                  <w:r>
                    <w:rPr>
                      <w:kern w:val="24"/>
                      <w:sz w:val="21"/>
                      <w:szCs w:val="21"/>
                    </w:rPr>
                    <w:t>居民区</w:t>
                  </w:r>
                </w:p>
              </w:tc>
              <w:tc>
                <w:tcPr>
                  <w:tcW w:w="1056" w:type="dxa"/>
                  <w:vAlign w:val="center"/>
                </w:tcPr>
                <w:p w14:paraId="33F6E77B">
                  <w:pPr>
                    <w:widowControl/>
                    <w:tabs>
                      <w:tab w:val="left" w:pos="780"/>
                    </w:tabs>
                    <w:autoSpaceDE w:val="0"/>
                    <w:autoSpaceDN w:val="0"/>
                    <w:adjustRightInd w:val="0"/>
                    <w:snapToGrid w:val="0"/>
                    <w:spacing w:line="240" w:lineRule="auto"/>
                    <w:ind w:firstLine="0" w:firstLineChars="0"/>
                    <w:jc w:val="center"/>
                    <w:textAlignment w:val="baseline"/>
                    <w:outlineLvl w:val="1"/>
                    <w:rPr>
                      <w:kern w:val="24"/>
                      <w:sz w:val="21"/>
                      <w:szCs w:val="21"/>
                    </w:rPr>
                  </w:pPr>
                  <w:r>
                    <w:rPr>
                      <w:kern w:val="24"/>
                      <w:sz w:val="21"/>
                      <w:szCs w:val="21"/>
                    </w:rPr>
                    <w:t>大气环境</w:t>
                  </w:r>
                </w:p>
              </w:tc>
              <w:tc>
                <w:tcPr>
                  <w:tcW w:w="1476" w:type="dxa"/>
                  <w:vAlign w:val="center"/>
                </w:tcPr>
                <w:p w14:paraId="6991679A">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eastAsia="宋体"/>
                      <w:kern w:val="24"/>
                      <w:sz w:val="21"/>
                      <w:szCs w:val="21"/>
                      <w:lang w:val="en-US" w:eastAsia="zh-CN"/>
                    </w:rPr>
                  </w:pPr>
                  <w:r>
                    <w:rPr>
                      <w:rFonts w:hint="eastAsia"/>
                      <w:kern w:val="24"/>
                      <w:sz w:val="21"/>
                      <w:szCs w:val="21"/>
                      <w:lang w:val="en-US" w:eastAsia="zh-CN"/>
                    </w:rPr>
                    <w:t>W</w:t>
                  </w:r>
                </w:p>
              </w:tc>
              <w:tc>
                <w:tcPr>
                  <w:tcW w:w="1640" w:type="dxa"/>
                  <w:vAlign w:val="center"/>
                </w:tcPr>
                <w:p w14:paraId="7E40D27B">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eastAsia="宋体"/>
                      <w:kern w:val="24"/>
                      <w:sz w:val="21"/>
                      <w:szCs w:val="21"/>
                      <w:lang w:val="en-US" w:eastAsia="zh-CN"/>
                    </w:rPr>
                  </w:pPr>
                  <w:r>
                    <w:rPr>
                      <w:rFonts w:hint="eastAsia"/>
                      <w:kern w:val="24"/>
                      <w:sz w:val="21"/>
                      <w:szCs w:val="21"/>
                      <w:lang w:val="en-US" w:eastAsia="zh-CN"/>
                    </w:rPr>
                    <w:t>426</w:t>
                  </w:r>
                </w:p>
              </w:tc>
            </w:tr>
          </w:tbl>
          <w:p w14:paraId="51099332">
            <w:pPr>
              <w:adjustRightInd w:val="0"/>
              <w:snapToGrid w:val="0"/>
              <w:spacing w:line="360" w:lineRule="auto"/>
              <w:ind w:firstLine="482"/>
              <w:rPr>
                <w:b/>
                <w:bCs/>
                <w:szCs w:val="32"/>
              </w:rPr>
            </w:pPr>
            <w:r>
              <w:rPr>
                <w:b/>
                <w:bCs/>
                <w:szCs w:val="32"/>
              </w:rPr>
              <w:t>2、声环境保护目标</w:t>
            </w:r>
          </w:p>
          <w:p w14:paraId="20903442">
            <w:pPr>
              <w:adjustRightInd w:val="0"/>
              <w:snapToGrid w:val="0"/>
              <w:spacing w:line="360" w:lineRule="auto"/>
              <w:ind w:firstLine="480"/>
              <w:rPr>
                <w:kern w:val="0"/>
                <w:szCs w:val="22"/>
              </w:rPr>
            </w:pPr>
            <w:r>
              <w:rPr>
                <w:kern w:val="0"/>
                <w:szCs w:val="22"/>
              </w:rPr>
              <w:t>厂界外50米无声环境保护目标，见附图</w:t>
            </w:r>
            <w:r>
              <w:rPr>
                <w:rFonts w:hint="eastAsia"/>
                <w:kern w:val="0"/>
                <w:szCs w:val="22"/>
                <w:lang w:val="en-US" w:eastAsia="zh-CN"/>
              </w:rPr>
              <w:t>6</w:t>
            </w:r>
            <w:r>
              <w:rPr>
                <w:kern w:val="0"/>
                <w:szCs w:val="22"/>
              </w:rPr>
              <w:t>。</w:t>
            </w:r>
          </w:p>
          <w:p w14:paraId="2637EC03">
            <w:pPr>
              <w:adjustRightInd w:val="0"/>
              <w:snapToGrid w:val="0"/>
              <w:spacing w:line="360" w:lineRule="auto"/>
              <w:ind w:firstLine="482"/>
              <w:rPr>
                <w:b/>
                <w:bCs/>
                <w:szCs w:val="32"/>
              </w:rPr>
            </w:pPr>
            <w:r>
              <w:rPr>
                <w:b/>
                <w:bCs/>
                <w:szCs w:val="32"/>
              </w:rPr>
              <w:t>3、地下水环境保护目标</w:t>
            </w:r>
          </w:p>
          <w:p w14:paraId="4F0E5C8E">
            <w:pPr>
              <w:adjustRightInd w:val="0"/>
              <w:snapToGrid w:val="0"/>
              <w:spacing w:line="360" w:lineRule="auto"/>
              <w:ind w:firstLine="480"/>
              <w:rPr>
                <w:kern w:val="0"/>
                <w:szCs w:val="22"/>
              </w:rPr>
            </w:pPr>
            <w:r>
              <w:rPr>
                <w:kern w:val="0"/>
                <w:szCs w:val="22"/>
              </w:rPr>
              <w:t>项目周边500m范围内无地下水集中式饮用水水源和热水、矿泉水、温泉等特殊地下水资源。</w:t>
            </w:r>
          </w:p>
          <w:p w14:paraId="337E7A7D">
            <w:pPr>
              <w:adjustRightInd w:val="0"/>
              <w:snapToGrid w:val="0"/>
              <w:spacing w:line="360" w:lineRule="auto"/>
              <w:ind w:firstLine="482"/>
              <w:rPr>
                <w:b/>
                <w:bCs/>
                <w:szCs w:val="32"/>
              </w:rPr>
            </w:pPr>
            <w:r>
              <w:rPr>
                <w:b/>
                <w:bCs/>
                <w:szCs w:val="32"/>
              </w:rPr>
              <w:t>4、生态环境敏感区</w:t>
            </w:r>
          </w:p>
          <w:p w14:paraId="00238C7B">
            <w:pPr>
              <w:adjustRightInd w:val="0"/>
              <w:snapToGrid w:val="0"/>
              <w:spacing w:line="360" w:lineRule="auto"/>
              <w:ind w:firstLine="480"/>
              <w:rPr>
                <w:kern w:val="0"/>
                <w:szCs w:val="22"/>
              </w:rPr>
            </w:pPr>
            <w:r>
              <w:rPr>
                <w:kern w:val="0"/>
                <w:szCs w:val="22"/>
              </w:rPr>
              <w:t>无。</w:t>
            </w:r>
          </w:p>
        </w:tc>
      </w:tr>
      <w:tr w14:paraId="18506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tcMar>
              <w:left w:w="28" w:type="dxa"/>
              <w:right w:w="28" w:type="dxa"/>
            </w:tcMar>
            <w:vAlign w:val="center"/>
          </w:tcPr>
          <w:p w14:paraId="67090E26">
            <w:pPr>
              <w:adjustRightInd w:val="0"/>
              <w:snapToGrid w:val="0"/>
              <w:spacing w:line="240" w:lineRule="auto"/>
              <w:ind w:firstLine="0" w:firstLineChars="0"/>
              <w:jc w:val="center"/>
              <w:rPr>
                <w:b/>
                <w:bCs/>
                <w:kern w:val="0"/>
                <w:sz w:val="28"/>
                <w:szCs w:val="28"/>
              </w:rPr>
            </w:pPr>
            <w:r>
              <w:rPr>
                <w:b/>
                <w:bCs/>
                <w:kern w:val="0"/>
                <w:sz w:val="28"/>
                <w:szCs w:val="28"/>
              </w:rPr>
              <w:t>污染</w:t>
            </w:r>
          </w:p>
          <w:p w14:paraId="16FB4495">
            <w:pPr>
              <w:adjustRightInd w:val="0"/>
              <w:snapToGrid w:val="0"/>
              <w:spacing w:line="240" w:lineRule="auto"/>
              <w:ind w:firstLine="0" w:firstLineChars="0"/>
              <w:jc w:val="center"/>
              <w:rPr>
                <w:b/>
                <w:bCs/>
                <w:kern w:val="0"/>
                <w:sz w:val="28"/>
                <w:szCs w:val="28"/>
              </w:rPr>
            </w:pPr>
            <w:r>
              <w:rPr>
                <w:b/>
                <w:bCs/>
                <w:kern w:val="0"/>
                <w:sz w:val="28"/>
                <w:szCs w:val="28"/>
              </w:rPr>
              <w:t>物排</w:t>
            </w:r>
          </w:p>
          <w:p w14:paraId="5383A668">
            <w:pPr>
              <w:adjustRightInd w:val="0"/>
              <w:snapToGrid w:val="0"/>
              <w:spacing w:line="240" w:lineRule="auto"/>
              <w:ind w:firstLine="0" w:firstLineChars="0"/>
              <w:jc w:val="center"/>
              <w:rPr>
                <w:b/>
                <w:bCs/>
                <w:kern w:val="0"/>
                <w:sz w:val="28"/>
                <w:szCs w:val="28"/>
              </w:rPr>
            </w:pPr>
            <w:r>
              <w:rPr>
                <w:b/>
                <w:bCs/>
                <w:kern w:val="0"/>
                <w:sz w:val="28"/>
                <w:szCs w:val="28"/>
              </w:rPr>
              <w:t>放控</w:t>
            </w:r>
          </w:p>
          <w:p w14:paraId="0180B954">
            <w:pPr>
              <w:adjustRightInd w:val="0"/>
              <w:snapToGrid w:val="0"/>
              <w:spacing w:line="240" w:lineRule="auto"/>
              <w:ind w:firstLine="0" w:firstLineChars="0"/>
              <w:jc w:val="center"/>
              <w:rPr>
                <w:b/>
                <w:bCs/>
                <w:kern w:val="0"/>
                <w:sz w:val="28"/>
                <w:szCs w:val="28"/>
              </w:rPr>
            </w:pPr>
            <w:r>
              <w:rPr>
                <w:b/>
                <w:bCs/>
                <w:kern w:val="0"/>
                <w:sz w:val="28"/>
                <w:szCs w:val="28"/>
              </w:rPr>
              <w:t>制标</w:t>
            </w:r>
          </w:p>
          <w:p w14:paraId="31F76B7A">
            <w:pPr>
              <w:adjustRightInd w:val="0"/>
              <w:snapToGrid w:val="0"/>
              <w:spacing w:line="240" w:lineRule="auto"/>
              <w:ind w:firstLine="0" w:firstLineChars="0"/>
              <w:jc w:val="center"/>
              <w:rPr>
                <w:kern w:val="0"/>
                <w:szCs w:val="21"/>
              </w:rPr>
            </w:pPr>
            <w:r>
              <w:rPr>
                <w:b/>
                <w:bCs/>
                <w:kern w:val="0"/>
                <w:sz w:val="28"/>
                <w:szCs w:val="28"/>
              </w:rPr>
              <w:t>准</w:t>
            </w:r>
          </w:p>
        </w:tc>
        <w:tc>
          <w:tcPr>
            <w:tcW w:w="8386" w:type="dxa"/>
            <w:vAlign w:val="center"/>
          </w:tcPr>
          <w:p w14:paraId="30A3EC04">
            <w:pPr>
              <w:adjustRightInd w:val="0"/>
              <w:snapToGrid w:val="0"/>
              <w:spacing w:line="300" w:lineRule="auto"/>
              <w:ind w:firstLine="482"/>
              <w:rPr>
                <w:b/>
                <w:bCs/>
                <w:szCs w:val="32"/>
              </w:rPr>
            </w:pPr>
            <w:r>
              <w:rPr>
                <w:b/>
                <w:bCs/>
                <w:szCs w:val="32"/>
              </w:rPr>
              <w:t>1、废气</w:t>
            </w:r>
          </w:p>
          <w:p w14:paraId="1F75769D">
            <w:pPr>
              <w:adjustRightInd w:val="0"/>
              <w:snapToGrid w:val="0"/>
              <w:spacing w:line="360" w:lineRule="auto"/>
              <w:ind w:firstLine="480"/>
              <w:rPr>
                <w:rFonts w:hint="eastAsia" w:eastAsia="宋体"/>
                <w:kern w:val="0"/>
                <w:szCs w:val="22"/>
                <w:lang w:eastAsia="zh-CN"/>
              </w:rPr>
            </w:pPr>
            <w:r>
              <w:rPr>
                <w:kern w:val="0"/>
                <w:szCs w:val="22"/>
              </w:rPr>
              <w:t>项目</w:t>
            </w:r>
            <w:r>
              <w:rPr>
                <w:rFonts w:hint="eastAsia"/>
                <w:kern w:val="0"/>
                <w:szCs w:val="22"/>
              </w:rPr>
              <w:t>生产过程产生的</w:t>
            </w:r>
            <w:r>
              <w:rPr>
                <w:rFonts w:hint="eastAsia"/>
                <w:kern w:val="0"/>
                <w:szCs w:val="22"/>
                <w:lang w:val="en-US" w:eastAsia="zh-CN"/>
              </w:rPr>
              <w:t>非甲烷总烃有组织排放及厂区内无组织排放</w:t>
            </w:r>
            <w:r>
              <w:rPr>
                <w:rFonts w:hint="eastAsia"/>
                <w:kern w:val="0"/>
                <w:szCs w:val="22"/>
              </w:rPr>
              <w:t>执行广东省《固定污染源挥发性有机物综合排放标准》（DB 44/2367-2022）表 1 挥发性有机物排放限值和表 3 厂区内 VOCs 无组织排放限值</w:t>
            </w:r>
            <w:r>
              <w:rPr>
                <w:rFonts w:hint="eastAsia"/>
                <w:kern w:val="0"/>
                <w:szCs w:val="22"/>
                <w:lang w:eastAsia="zh-CN"/>
              </w:rPr>
              <w:t>，</w:t>
            </w:r>
            <w:r>
              <w:rPr>
                <w:rFonts w:hint="eastAsia"/>
                <w:kern w:val="0"/>
                <w:szCs w:val="22"/>
                <w:lang w:val="en-US" w:eastAsia="zh-CN"/>
              </w:rPr>
              <w:t>厂界无组织排放执行《大气污染物排放限值》（DB 44/27-2001）无组织排放监控浓度限值；颗粒物有组织及厂界无组织排放执行广东省《大气污染物排放限值》（DB44/27-2001）第二时段二级标准及无组织排放监控浓度限值。</w:t>
            </w:r>
          </w:p>
          <w:p w14:paraId="3C69D4CD">
            <w:pPr>
              <w:spacing w:line="240" w:lineRule="auto"/>
              <w:ind w:firstLine="0" w:firstLineChars="0"/>
              <w:jc w:val="center"/>
              <w:rPr>
                <w:b/>
                <w:bCs/>
                <w:szCs w:val="21"/>
              </w:rPr>
            </w:pPr>
            <w:r>
              <w:rPr>
                <w:b/>
                <w:bCs/>
                <w:szCs w:val="21"/>
              </w:rPr>
              <w:t>表3-5废气执行排放标准限值</w:t>
            </w:r>
          </w:p>
          <w:tbl>
            <w:tblPr>
              <w:tblStyle w:val="31"/>
              <w:tblW w:w="823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9"/>
              <w:gridCol w:w="1173"/>
              <w:gridCol w:w="1173"/>
              <w:gridCol w:w="1176"/>
              <w:gridCol w:w="1169"/>
              <w:gridCol w:w="1174"/>
              <w:gridCol w:w="1202"/>
            </w:tblGrid>
            <w:tr w14:paraId="4BE3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53B65">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产污环节</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CB557">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污染源</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FC415">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污染物名称</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62C19">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有组织</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60595">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无组织排放监控浓度限值</w:t>
                  </w:r>
                  <w:r>
                    <w:rPr>
                      <w:rFonts w:hint="eastAsia"/>
                      <w:kern w:val="24"/>
                      <w:sz w:val="21"/>
                      <w:szCs w:val="21"/>
                      <w:lang w:val="en-US" w:eastAsia="zh-CN"/>
                    </w:rPr>
                    <w:t>mg/m</w:t>
                  </w:r>
                  <w:r>
                    <w:rPr>
                      <w:rFonts w:hint="eastAsia"/>
                      <w:kern w:val="24"/>
                      <w:sz w:val="21"/>
                      <w:szCs w:val="21"/>
                      <w:vertAlign w:val="superscript"/>
                      <w:lang w:val="en-US" w:eastAsia="zh-CN"/>
                    </w:rPr>
                    <w:t>3</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0C882">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执行标准</w:t>
                  </w:r>
                </w:p>
              </w:tc>
            </w:tr>
            <w:tr w14:paraId="6C93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31866">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887FC">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A632">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A86">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排放浓度</w:t>
                  </w:r>
                  <w:r>
                    <w:rPr>
                      <w:rFonts w:hint="eastAsia"/>
                      <w:kern w:val="24"/>
                      <w:sz w:val="21"/>
                      <w:szCs w:val="21"/>
                      <w:lang w:val="en-US" w:eastAsia="zh-CN"/>
                    </w:rPr>
                    <w:t>mg/m</w:t>
                  </w:r>
                  <w:r>
                    <w:rPr>
                      <w:rFonts w:hint="eastAsia"/>
                      <w:kern w:val="24"/>
                      <w:sz w:val="21"/>
                      <w:szCs w:val="21"/>
                      <w:vertAlign w:val="superscript"/>
                      <w:lang w:val="en-US" w:eastAsia="zh-CN"/>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1689">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b/>
                      <w:bCs/>
                      <w:kern w:val="24"/>
                      <w:sz w:val="21"/>
                      <w:szCs w:val="21"/>
                    </w:rPr>
                  </w:pPr>
                  <w:r>
                    <w:rPr>
                      <w:rFonts w:hint="eastAsia"/>
                      <w:b/>
                      <w:bCs/>
                      <w:kern w:val="24"/>
                      <w:sz w:val="21"/>
                      <w:szCs w:val="21"/>
                      <w:lang w:val="en-US" w:eastAsia="zh-CN"/>
                    </w:rPr>
                    <w:t>排放速率</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6F53F">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C94D">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rPr>
                  </w:pPr>
                </w:p>
              </w:tc>
            </w:tr>
            <w:tr w14:paraId="79A4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F47F">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投料、混合、分装</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EBEF">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DA001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3EDB">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颗粒物</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B82B">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120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8122">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1.45*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DC55">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F6CF">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DB44/27-2001</w:t>
                  </w:r>
                </w:p>
              </w:tc>
            </w:tr>
            <w:tr w14:paraId="6848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CC68">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rPr>
                  </w:pPr>
                  <w:r>
                    <w:rPr>
                      <w:rFonts w:hint="eastAsia"/>
                      <w:kern w:val="24"/>
                      <w:sz w:val="21"/>
                      <w:szCs w:val="21"/>
                      <w:lang w:val="en-US" w:eastAsia="zh-CN"/>
                    </w:rPr>
                    <w:t>搅拌、分装</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2856">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rPr>
                  </w:pPr>
                  <w:r>
                    <w:rPr>
                      <w:rFonts w:hint="eastAsia"/>
                      <w:kern w:val="24"/>
                      <w:sz w:val="21"/>
                      <w:szCs w:val="21"/>
                      <w:lang w:val="en-US" w:eastAsia="zh-CN"/>
                    </w:rPr>
                    <w:t>DA002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708">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rPr>
                  </w:pPr>
                  <w:r>
                    <w:rPr>
                      <w:rFonts w:hint="eastAsia"/>
                      <w:kern w:val="24"/>
                      <w:sz w:val="21"/>
                      <w:szCs w:val="21"/>
                      <w:lang w:val="en-US" w:eastAsia="zh-CN"/>
                    </w:rPr>
                    <w:t>NMHC</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2F64">
                  <w:pPr>
                    <w:widowControl/>
                    <w:tabs>
                      <w:tab w:val="left" w:pos="780"/>
                    </w:tabs>
                    <w:autoSpaceDE w:val="0"/>
                    <w:autoSpaceDN w:val="0"/>
                    <w:adjustRightInd w:val="0"/>
                    <w:snapToGrid w:val="0"/>
                    <w:spacing w:line="240" w:lineRule="auto"/>
                    <w:ind w:firstLine="0" w:firstLineChars="0"/>
                    <w:jc w:val="center"/>
                    <w:textAlignment w:val="baseline"/>
                    <w:outlineLvl w:val="1"/>
                    <w:rPr>
                      <w:rFonts w:hint="default"/>
                      <w:kern w:val="24"/>
                      <w:sz w:val="21"/>
                      <w:szCs w:val="21"/>
                      <w:lang w:val="en-US" w:eastAsia="zh-CN"/>
                    </w:rPr>
                  </w:pPr>
                  <w:r>
                    <w:rPr>
                      <w:rFonts w:hint="eastAsia"/>
                      <w:kern w:val="24"/>
                      <w:sz w:val="21"/>
                      <w:szCs w:val="21"/>
                      <w:lang w:val="en-US" w:eastAsia="zh-CN"/>
                    </w:rPr>
                    <w:t>80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0AD0">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rPr>
                  </w:pPr>
                  <w:r>
                    <w:rPr>
                      <w:rFonts w:hint="eastAsia"/>
                      <w:kern w:val="24"/>
                      <w:sz w:val="21"/>
                      <w:szCs w:val="21"/>
                      <w:lang w:val="en-US" w:eastAsia="zh-CN"/>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94A9">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rPr>
                  </w:pPr>
                  <w:r>
                    <w:rPr>
                      <w:rFonts w:hint="eastAsia"/>
                      <w:kern w:val="24"/>
                      <w:sz w:val="21"/>
                      <w:szCs w:val="21"/>
                      <w:lang w:val="en-US" w:eastAsia="zh-CN"/>
                    </w:rPr>
                    <w:t>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C504">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eastAsia="宋体"/>
                      <w:kern w:val="24"/>
                      <w:sz w:val="21"/>
                      <w:szCs w:val="21"/>
                      <w:lang w:val="en-US" w:eastAsia="zh-CN"/>
                    </w:rPr>
                  </w:pPr>
                  <w:r>
                    <w:rPr>
                      <w:rFonts w:hint="eastAsia"/>
                      <w:kern w:val="24"/>
                      <w:sz w:val="21"/>
                      <w:szCs w:val="21"/>
                      <w:lang w:val="en-US" w:eastAsia="zh-CN"/>
                    </w:rPr>
                    <w:t>DB 44/2367-2022、DB44/27-2001</w:t>
                  </w:r>
                </w:p>
              </w:tc>
            </w:tr>
            <w:tr w14:paraId="383C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3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DC6B3">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厂内无组织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7820">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NMHC</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99133">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6mg/m</w:t>
                  </w:r>
                  <w:r>
                    <w:rPr>
                      <w:rFonts w:hint="eastAsia"/>
                      <w:kern w:val="24"/>
                      <w:sz w:val="21"/>
                      <w:szCs w:val="21"/>
                      <w:vertAlign w:val="superscript"/>
                      <w:lang w:val="en-US" w:eastAsia="zh-CN"/>
                    </w:rPr>
                    <w:t>3</w:t>
                  </w:r>
                  <w:r>
                    <w:rPr>
                      <w:rFonts w:hint="eastAsia"/>
                      <w:kern w:val="24"/>
                      <w:sz w:val="21"/>
                      <w:szCs w:val="21"/>
                      <w:lang w:val="en-US" w:eastAsia="zh-CN"/>
                    </w:rPr>
                    <w:t>（监控点出1h平均浓度值）</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0B4CB">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GB37822-2019</w:t>
                  </w:r>
                </w:p>
              </w:tc>
            </w:tr>
            <w:tr w14:paraId="0C46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8760C">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AB8E">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NMHC</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C8A1F">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20mg/m</w:t>
                  </w:r>
                  <w:r>
                    <w:rPr>
                      <w:rFonts w:hint="eastAsia"/>
                      <w:kern w:val="24"/>
                      <w:sz w:val="21"/>
                      <w:szCs w:val="21"/>
                      <w:vertAlign w:val="superscript"/>
                      <w:lang w:val="en-US" w:eastAsia="zh-CN"/>
                    </w:rPr>
                    <w:t>3</w:t>
                  </w:r>
                  <w:r>
                    <w:rPr>
                      <w:rFonts w:hint="eastAsia"/>
                      <w:kern w:val="24"/>
                      <w:sz w:val="21"/>
                      <w:szCs w:val="21"/>
                      <w:lang w:val="en-US" w:eastAsia="zh-CN"/>
                    </w:rPr>
                    <w:t>（监控点处任意一次浓度值）</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CE4E">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p>
              </w:tc>
            </w:tr>
            <w:tr w14:paraId="1313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82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6EE228">
                  <w:pPr>
                    <w:widowControl/>
                    <w:tabs>
                      <w:tab w:val="left" w:pos="780"/>
                    </w:tabs>
                    <w:autoSpaceDE w:val="0"/>
                    <w:autoSpaceDN w:val="0"/>
                    <w:adjustRightInd w:val="0"/>
                    <w:snapToGrid w:val="0"/>
                    <w:spacing w:line="240" w:lineRule="auto"/>
                    <w:ind w:firstLine="0" w:firstLineChars="0"/>
                    <w:jc w:val="both"/>
                    <w:textAlignment w:val="baseline"/>
                    <w:outlineLvl w:val="1"/>
                    <w:rPr>
                      <w:rFonts w:hint="eastAsia"/>
                      <w:kern w:val="24"/>
                      <w:sz w:val="21"/>
                      <w:szCs w:val="21"/>
                      <w:lang w:val="en-US" w:eastAsia="zh-CN"/>
                    </w:rPr>
                  </w:pPr>
                  <w:r>
                    <w:rPr>
                      <w:rFonts w:hint="eastAsia"/>
                      <w:kern w:val="24"/>
                      <w:sz w:val="21"/>
                      <w:szCs w:val="21"/>
                      <w:lang w:val="en-US" w:eastAsia="zh-CN"/>
                    </w:rPr>
                    <w:t>*备注：本项目排气筒高度不能高出周围200 m 半径范围内最高建筑 5 m 以上，根据 DB 44/27-2001 排放速率限值按 50%执行。</w:t>
                  </w:r>
                </w:p>
              </w:tc>
            </w:tr>
          </w:tbl>
          <w:p w14:paraId="340C56E1">
            <w:pPr>
              <w:adjustRightInd w:val="0"/>
              <w:snapToGrid w:val="0"/>
              <w:spacing w:line="300" w:lineRule="auto"/>
              <w:ind w:firstLine="482"/>
              <w:rPr>
                <w:b/>
                <w:bCs/>
                <w:szCs w:val="32"/>
              </w:rPr>
            </w:pPr>
            <w:r>
              <w:rPr>
                <w:b/>
                <w:bCs/>
                <w:szCs w:val="32"/>
              </w:rPr>
              <w:t>2、废水</w:t>
            </w:r>
          </w:p>
          <w:p w14:paraId="16B67281">
            <w:pPr>
              <w:pStyle w:val="112"/>
              <w:keepNext w:val="0"/>
              <w:keepLines w:val="0"/>
              <w:pageBreakBefore w:val="0"/>
              <w:widowControl w:val="0"/>
              <w:kinsoku/>
              <w:wordWrap/>
              <w:overflowPunct/>
              <w:topLinePunct w:val="0"/>
              <w:autoSpaceDE/>
              <w:autoSpaceDN/>
              <w:bidi w:val="0"/>
              <w:adjustRightInd w:val="0"/>
              <w:snapToGrid w:val="0"/>
              <w:spacing w:line="360" w:lineRule="auto"/>
              <w:ind w:left="108" w:right="102" w:firstLine="424"/>
              <w:jc w:val="both"/>
              <w:textAlignment w:val="auto"/>
              <w:rPr>
                <w:rFonts w:hint="eastAsia" w:ascii="Times New Roman" w:hAnsi="Times New Roman" w:eastAsia="宋体" w:cs="Times New Roman"/>
                <w:kern w:val="0"/>
                <w:sz w:val="24"/>
                <w:szCs w:val="22"/>
                <w:lang w:val="en-US" w:eastAsia="zh-CN" w:bidi="ar-SA"/>
              </w:rPr>
            </w:pPr>
            <w:r>
              <w:rPr>
                <w:rFonts w:hint="eastAsia" w:ascii="Times New Roman" w:hAnsi="Times New Roman" w:eastAsia="宋体" w:cs="Times New Roman"/>
                <w:kern w:val="0"/>
                <w:sz w:val="24"/>
                <w:szCs w:val="22"/>
                <w:lang w:val="en-US" w:eastAsia="zh-CN" w:bidi="ar-SA"/>
              </w:rPr>
              <w:t>项目位于汕头市潮阳区文光街道白竹洋兄弟塑胶公司内，项目生活污水经化粪池处理后达到广东省地方标准《水污染物排放限值》（DB44/26-2001）中第二时段三级标准后，由市政污水管网引至潮阳区污水处理厂进行后续处理，最终汇入练江。潮阳区污水处理厂出水水质执行广东省《水污染物排放限值》（DB44/26-2001）第二时段一级标准和《城镇污水处理厂污染物排放标准》（GB18918-2002）一级 A 标准的较严值，详见下表。</w:t>
            </w:r>
          </w:p>
          <w:p w14:paraId="67B0F40A">
            <w:pPr>
              <w:pStyle w:val="112"/>
              <w:spacing w:line="221" w:lineRule="auto"/>
              <w:ind w:left="943"/>
            </w:pPr>
            <w:r>
              <w:rPr>
                <w:b/>
                <w:bCs/>
                <w:spacing w:val="8"/>
              </w:rPr>
              <w:t>表</w:t>
            </w:r>
            <w:r>
              <w:rPr>
                <w:spacing w:val="-42"/>
              </w:rPr>
              <w:t xml:space="preserve"> </w:t>
            </w:r>
            <w:r>
              <w:rPr>
                <w:rFonts w:ascii="Times New Roman" w:hAnsi="Times New Roman" w:eastAsia="Times New Roman" w:cs="Times New Roman"/>
                <w:b/>
                <w:bCs/>
                <w:spacing w:val="8"/>
              </w:rPr>
              <w:t xml:space="preserve">3-3 </w:t>
            </w:r>
            <w:r>
              <w:rPr>
                <w:b/>
                <w:bCs/>
                <w:spacing w:val="8"/>
              </w:rPr>
              <w:t>项目污水排入处理中心污水处理厂</w:t>
            </w:r>
            <w:r>
              <w:rPr>
                <w:b/>
                <w:bCs/>
                <w:spacing w:val="7"/>
              </w:rPr>
              <w:t>标准（单位：</w:t>
            </w:r>
            <w:r>
              <w:rPr>
                <w:rFonts w:ascii="Times New Roman" w:hAnsi="Times New Roman" w:eastAsia="Times New Roman" w:cs="Times New Roman"/>
                <w:b/>
                <w:bCs/>
              </w:rPr>
              <w:t>mg</w:t>
            </w:r>
            <w:r>
              <w:rPr>
                <w:rFonts w:ascii="Times New Roman" w:hAnsi="Times New Roman" w:eastAsia="Times New Roman" w:cs="Times New Roman"/>
                <w:b/>
                <w:bCs/>
                <w:spacing w:val="7"/>
              </w:rPr>
              <w:t>/L,</w:t>
            </w:r>
            <w:r>
              <w:rPr>
                <w:rFonts w:ascii="Times New Roman" w:hAnsi="Times New Roman" w:eastAsia="Times New Roman" w:cs="Times New Roman"/>
                <w:b/>
                <w:bCs/>
              </w:rPr>
              <w:t>pH</w:t>
            </w:r>
            <w:r>
              <w:rPr>
                <w:rFonts w:ascii="Times New Roman" w:hAnsi="Times New Roman" w:eastAsia="Times New Roman" w:cs="Times New Roman"/>
                <w:b/>
                <w:bCs/>
                <w:spacing w:val="7"/>
              </w:rPr>
              <w:t xml:space="preserve"> </w:t>
            </w:r>
            <w:r>
              <w:rPr>
                <w:b/>
                <w:bCs/>
                <w:spacing w:val="7"/>
              </w:rPr>
              <w:t>值除外）</w:t>
            </w:r>
          </w:p>
          <w:p w14:paraId="0B5CC7B3">
            <w:pPr>
              <w:spacing w:line="20" w:lineRule="exact"/>
            </w:pPr>
          </w:p>
          <w:tbl>
            <w:tblPr>
              <w:tblStyle w:val="80"/>
              <w:tblW w:w="7997"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382"/>
              <w:gridCol w:w="2521"/>
              <w:gridCol w:w="3152"/>
            </w:tblGrid>
            <w:tr w14:paraId="15EC7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42" w:type="dxa"/>
                  <w:vAlign w:val="top"/>
                </w:tcPr>
                <w:p w14:paraId="2F0E290E">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污染物</w:t>
                  </w:r>
                </w:p>
              </w:tc>
              <w:tc>
                <w:tcPr>
                  <w:tcW w:w="1382" w:type="dxa"/>
                  <w:vAlign w:val="top"/>
                </w:tcPr>
                <w:p w14:paraId="1751DEED">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单位</w:t>
                  </w:r>
                </w:p>
              </w:tc>
              <w:tc>
                <w:tcPr>
                  <w:tcW w:w="2521" w:type="dxa"/>
                  <w:vAlign w:val="top"/>
                </w:tcPr>
                <w:p w14:paraId="5899577D">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企业废水排放口排放标准</w:t>
                  </w:r>
                </w:p>
              </w:tc>
              <w:tc>
                <w:tcPr>
                  <w:tcW w:w="3152" w:type="dxa"/>
                  <w:vAlign w:val="top"/>
                </w:tcPr>
                <w:p w14:paraId="1FCBFF89">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潮阳区污水处理厂出水标准</w:t>
                  </w:r>
                </w:p>
              </w:tc>
            </w:tr>
            <w:tr w14:paraId="2F715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42" w:type="dxa"/>
                  <w:vAlign w:val="top"/>
                </w:tcPr>
                <w:p w14:paraId="07699218">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pH</w:t>
                  </w:r>
                </w:p>
              </w:tc>
              <w:tc>
                <w:tcPr>
                  <w:tcW w:w="1382" w:type="dxa"/>
                  <w:vAlign w:val="top"/>
                </w:tcPr>
                <w:p w14:paraId="154399C1">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无量纲</w:t>
                  </w:r>
                </w:p>
              </w:tc>
              <w:tc>
                <w:tcPr>
                  <w:tcW w:w="2521" w:type="dxa"/>
                  <w:vAlign w:val="top"/>
                </w:tcPr>
                <w:p w14:paraId="07705DAA">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6~9</w:t>
                  </w:r>
                </w:p>
              </w:tc>
              <w:tc>
                <w:tcPr>
                  <w:tcW w:w="3152" w:type="dxa"/>
                  <w:vAlign w:val="top"/>
                </w:tcPr>
                <w:p w14:paraId="0E417439">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6~9</w:t>
                  </w:r>
                </w:p>
              </w:tc>
            </w:tr>
            <w:tr w14:paraId="0AAD7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42" w:type="dxa"/>
                  <w:vAlign w:val="top"/>
                </w:tcPr>
                <w:p w14:paraId="1DFE8894">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CODcr≤</w:t>
                  </w:r>
                </w:p>
              </w:tc>
              <w:tc>
                <w:tcPr>
                  <w:tcW w:w="1382" w:type="dxa"/>
                  <w:vAlign w:val="top"/>
                </w:tcPr>
                <w:p w14:paraId="6D390926">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mg/L</w:t>
                  </w:r>
                </w:p>
              </w:tc>
              <w:tc>
                <w:tcPr>
                  <w:tcW w:w="2521" w:type="dxa"/>
                  <w:vAlign w:val="top"/>
                </w:tcPr>
                <w:p w14:paraId="741D60D0">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500</w:t>
                  </w:r>
                </w:p>
              </w:tc>
              <w:tc>
                <w:tcPr>
                  <w:tcW w:w="3152" w:type="dxa"/>
                  <w:vAlign w:val="top"/>
                </w:tcPr>
                <w:p w14:paraId="2993C586">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40</w:t>
                  </w:r>
                </w:p>
              </w:tc>
            </w:tr>
            <w:tr w14:paraId="3054D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42" w:type="dxa"/>
                  <w:vAlign w:val="top"/>
                </w:tcPr>
                <w:p w14:paraId="5562D9C0">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BOD</w:t>
                  </w:r>
                  <w:r>
                    <w:rPr>
                      <w:rFonts w:hint="eastAsia"/>
                      <w:kern w:val="24"/>
                      <w:sz w:val="21"/>
                      <w:szCs w:val="21"/>
                      <w:vertAlign w:val="subscript"/>
                      <w:lang w:val="en-US" w:eastAsia="zh-CN"/>
                    </w:rPr>
                    <w:t>5</w:t>
                  </w:r>
                  <w:r>
                    <w:rPr>
                      <w:rFonts w:hint="eastAsia"/>
                      <w:kern w:val="24"/>
                      <w:sz w:val="21"/>
                      <w:szCs w:val="21"/>
                      <w:lang w:val="en-US" w:eastAsia="zh-CN"/>
                    </w:rPr>
                    <w:t>≤</w:t>
                  </w:r>
                </w:p>
              </w:tc>
              <w:tc>
                <w:tcPr>
                  <w:tcW w:w="1382" w:type="dxa"/>
                  <w:vAlign w:val="top"/>
                </w:tcPr>
                <w:p w14:paraId="068E6E7E">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mg/L</w:t>
                  </w:r>
                </w:p>
              </w:tc>
              <w:tc>
                <w:tcPr>
                  <w:tcW w:w="2521" w:type="dxa"/>
                  <w:vAlign w:val="top"/>
                </w:tcPr>
                <w:p w14:paraId="3CF67AD7">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300</w:t>
                  </w:r>
                </w:p>
              </w:tc>
              <w:tc>
                <w:tcPr>
                  <w:tcW w:w="3152" w:type="dxa"/>
                  <w:vAlign w:val="top"/>
                </w:tcPr>
                <w:p w14:paraId="7D8373F3">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10</w:t>
                  </w:r>
                </w:p>
              </w:tc>
            </w:tr>
            <w:tr w14:paraId="4195F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42" w:type="dxa"/>
                  <w:vAlign w:val="top"/>
                </w:tcPr>
                <w:p w14:paraId="6FCB7D3A">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SS≤</w:t>
                  </w:r>
                </w:p>
              </w:tc>
              <w:tc>
                <w:tcPr>
                  <w:tcW w:w="1382" w:type="dxa"/>
                  <w:vAlign w:val="top"/>
                </w:tcPr>
                <w:p w14:paraId="35208401">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mg/L</w:t>
                  </w:r>
                </w:p>
              </w:tc>
              <w:tc>
                <w:tcPr>
                  <w:tcW w:w="2521" w:type="dxa"/>
                  <w:vAlign w:val="top"/>
                </w:tcPr>
                <w:p w14:paraId="555C34CF">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400</w:t>
                  </w:r>
                </w:p>
              </w:tc>
              <w:tc>
                <w:tcPr>
                  <w:tcW w:w="3152" w:type="dxa"/>
                  <w:vAlign w:val="top"/>
                </w:tcPr>
                <w:p w14:paraId="5FC119F9">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10</w:t>
                  </w:r>
                </w:p>
              </w:tc>
            </w:tr>
            <w:tr w14:paraId="68FAC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942" w:type="dxa"/>
                  <w:vAlign w:val="top"/>
                </w:tcPr>
                <w:p w14:paraId="6DECE1F9">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氨氮≤</w:t>
                  </w:r>
                </w:p>
              </w:tc>
              <w:tc>
                <w:tcPr>
                  <w:tcW w:w="1382" w:type="dxa"/>
                  <w:vAlign w:val="top"/>
                </w:tcPr>
                <w:p w14:paraId="6A1B17AD">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mg/L</w:t>
                  </w:r>
                </w:p>
              </w:tc>
              <w:tc>
                <w:tcPr>
                  <w:tcW w:w="2521" w:type="dxa"/>
                  <w:vAlign w:val="top"/>
                </w:tcPr>
                <w:p w14:paraId="78E036E7">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w:t>
                  </w:r>
                </w:p>
              </w:tc>
              <w:tc>
                <w:tcPr>
                  <w:tcW w:w="3152" w:type="dxa"/>
                  <w:vAlign w:val="top"/>
                </w:tcPr>
                <w:p w14:paraId="249ED3EE">
                  <w:pPr>
                    <w:widowControl/>
                    <w:tabs>
                      <w:tab w:val="left" w:pos="780"/>
                    </w:tabs>
                    <w:autoSpaceDE w:val="0"/>
                    <w:autoSpaceDN w:val="0"/>
                    <w:adjustRightInd w:val="0"/>
                    <w:snapToGrid w:val="0"/>
                    <w:spacing w:line="240" w:lineRule="auto"/>
                    <w:ind w:firstLine="0" w:firstLineChars="0"/>
                    <w:jc w:val="center"/>
                    <w:textAlignment w:val="baseline"/>
                    <w:outlineLvl w:val="1"/>
                    <w:rPr>
                      <w:rFonts w:hint="eastAsia"/>
                      <w:kern w:val="24"/>
                      <w:sz w:val="21"/>
                      <w:szCs w:val="21"/>
                      <w:lang w:val="en-US" w:eastAsia="zh-CN"/>
                    </w:rPr>
                  </w:pPr>
                  <w:r>
                    <w:rPr>
                      <w:rFonts w:hint="eastAsia"/>
                      <w:kern w:val="24"/>
                      <w:sz w:val="21"/>
                      <w:szCs w:val="21"/>
                      <w:lang w:val="en-US" w:eastAsia="zh-CN"/>
                    </w:rPr>
                    <w:t>5</w:t>
                  </w:r>
                </w:p>
              </w:tc>
            </w:tr>
          </w:tbl>
          <w:p w14:paraId="1E470F27">
            <w:pPr>
              <w:adjustRightInd w:val="0"/>
              <w:snapToGrid w:val="0"/>
              <w:spacing w:line="300" w:lineRule="auto"/>
              <w:ind w:firstLine="482"/>
              <w:rPr>
                <w:b/>
                <w:bCs/>
                <w:szCs w:val="32"/>
              </w:rPr>
            </w:pPr>
            <w:r>
              <w:rPr>
                <w:b/>
                <w:bCs/>
                <w:szCs w:val="32"/>
              </w:rPr>
              <w:t>3、噪声</w:t>
            </w:r>
          </w:p>
          <w:p w14:paraId="7674C710">
            <w:pPr>
              <w:adjustRightInd w:val="0"/>
              <w:snapToGrid w:val="0"/>
              <w:spacing w:line="300" w:lineRule="auto"/>
              <w:ind w:firstLine="480"/>
              <w:rPr>
                <w:kern w:val="0"/>
                <w:szCs w:val="22"/>
              </w:rPr>
            </w:pPr>
            <w:r>
              <w:rPr>
                <w:kern w:val="0"/>
                <w:szCs w:val="22"/>
              </w:rPr>
              <w:t>项目营运期厂界噪声排放执行《工业企业厂界噪声排放标准》（GB12348-2008）中的</w:t>
            </w:r>
            <w:r>
              <w:rPr>
                <w:rFonts w:hint="eastAsia"/>
                <w:kern w:val="0"/>
                <w:szCs w:val="22"/>
                <w:lang w:val="en-US" w:eastAsia="zh-CN"/>
              </w:rPr>
              <w:t>2</w:t>
            </w:r>
            <w:r>
              <w:rPr>
                <w:kern w:val="0"/>
                <w:szCs w:val="22"/>
              </w:rPr>
              <w:t>类标准。具体指标见表3-7。</w:t>
            </w:r>
          </w:p>
          <w:p w14:paraId="3C8F03F8">
            <w:pPr>
              <w:spacing w:line="240" w:lineRule="auto"/>
              <w:ind w:firstLine="0" w:firstLineChars="0"/>
              <w:jc w:val="center"/>
              <w:rPr>
                <w:b/>
                <w:bCs/>
                <w:szCs w:val="21"/>
              </w:rPr>
            </w:pPr>
            <w:r>
              <w:rPr>
                <w:b/>
                <w:bCs/>
                <w:szCs w:val="21"/>
              </w:rPr>
              <w:t>表3-7项目噪声排放标准限值单位：dB(A)</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24"/>
              <w:gridCol w:w="4774"/>
              <w:gridCol w:w="806"/>
              <w:gridCol w:w="756"/>
            </w:tblGrid>
            <w:tr w14:paraId="24763F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9" w:type="dxa"/>
                  <w:tcMar>
                    <w:top w:w="57" w:type="dxa"/>
                    <w:bottom w:w="57" w:type="dxa"/>
                  </w:tcMar>
                  <w:vAlign w:val="center"/>
                </w:tcPr>
                <w:p w14:paraId="420B3EFB">
                  <w:pPr>
                    <w:pStyle w:val="59"/>
                    <w:spacing w:beforeLines="0" w:afterLines="0" w:line="240" w:lineRule="auto"/>
                    <w:ind w:left="0" w:firstLine="0" w:firstLineChars="0"/>
                    <w:rPr>
                      <w:rFonts w:ascii="Times New Roman"/>
                      <w:bCs/>
                      <w:szCs w:val="16"/>
                    </w:rPr>
                  </w:pPr>
                  <w:r>
                    <w:rPr>
                      <w:rFonts w:ascii="Times New Roman"/>
                      <w:bCs/>
                      <w:szCs w:val="16"/>
                    </w:rPr>
                    <w:t>厂界</w:t>
                  </w:r>
                </w:p>
              </w:tc>
              <w:tc>
                <w:tcPr>
                  <w:tcW w:w="4903" w:type="dxa"/>
                  <w:tcBorders>
                    <w:bottom w:val="single" w:color="auto" w:sz="4" w:space="0"/>
                  </w:tcBorders>
                  <w:tcMar>
                    <w:top w:w="57" w:type="dxa"/>
                    <w:bottom w:w="57" w:type="dxa"/>
                  </w:tcMar>
                  <w:vAlign w:val="center"/>
                </w:tcPr>
                <w:p w14:paraId="1ECCC0F0">
                  <w:pPr>
                    <w:pStyle w:val="59"/>
                    <w:spacing w:beforeLines="0" w:afterLines="0" w:line="240" w:lineRule="auto"/>
                    <w:ind w:left="0" w:firstLine="0" w:firstLineChars="0"/>
                    <w:rPr>
                      <w:rFonts w:ascii="Times New Roman"/>
                      <w:bCs/>
                      <w:szCs w:val="16"/>
                    </w:rPr>
                  </w:pPr>
                  <w:r>
                    <w:rPr>
                      <w:rFonts w:ascii="Times New Roman"/>
                      <w:bCs/>
                      <w:szCs w:val="16"/>
                    </w:rPr>
                    <w:t>执行标准</w:t>
                  </w:r>
                </w:p>
              </w:tc>
              <w:tc>
                <w:tcPr>
                  <w:tcW w:w="823" w:type="dxa"/>
                  <w:tcMar>
                    <w:top w:w="57" w:type="dxa"/>
                    <w:bottom w:w="57" w:type="dxa"/>
                  </w:tcMar>
                  <w:vAlign w:val="center"/>
                </w:tcPr>
                <w:p w14:paraId="455055CD">
                  <w:pPr>
                    <w:pStyle w:val="59"/>
                    <w:spacing w:beforeLines="0" w:afterLines="0" w:line="240" w:lineRule="auto"/>
                    <w:ind w:left="0" w:firstLine="0" w:firstLineChars="0"/>
                    <w:rPr>
                      <w:rFonts w:ascii="Times New Roman"/>
                      <w:bCs/>
                      <w:szCs w:val="16"/>
                    </w:rPr>
                  </w:pPr>
                  <w:r>
                    <w:rPr>
                      <w:rFonts w:ascii="Times New Roman"/>
                      <w:bCs/>
                      <w:szCs w:val="16"/>
                    </w:rPr>
                    <w:t>昼间</w:t>
                  </w:r>
                </w:p>
              </w:tc>
              <w:tc>
                <w:tcPr>
                  <w:tcW w:w="771" w:type="dxa"/>
                  <w:vAlign w:val="center"/>
                </w:tcPr>
                <w:p w14:paraId="18451C80">
                  <w:pPr>
                    <w:pStyle w:val="59"/>
                    <w:spacing w:beforeLines="0" w:afterLines="0" w:line="240" w:lineRule="auto"/>
                    <w:ind w:left="0" w:firstLine="0" w:firstLineChars="0"/>
                    <w:rPr>
                      <w:rFonts w:ascii="Times New Roman"/>
                      <w:bCs/>
                      <w:szCs w:val="16"/>
                    </w:rPr>
                  </w:pPr>
                  <w:r>
                    <w:rPr>
                      <w:rFonts w:ascii="Times New Roman"/>
                      <w:bCs/>
                      <w:szCs w:val="16"/>
                    </w:rPr>
                    <w:t>夜间</w:t>
                  </w:r>
                </w:p>
              </w:tc>
            </w:tr>
            <w:tr w14:paraId="0D07CB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69" w:type="dxa"/>
                  <w:tcMar>
                    <w:top w:w="57" w:type="dxa"/>
                    <w:bottom w:w="57" w:type="dxa"/>
                  </w:tcMar>
                  <w:vAlign w:val="center"/>
                </w:tcPr>
                <w:p w14:paraId="6FFFA617">
                  <w:pPr>
                    <w:snapToGrid w:val="0"/>
                    <w:spacing w:line="240" w:lineRule="auto"/>
                    <w:ind w:firstLine="0" w:firstLineChars="0"/>
                    <w:jc w:val="center"/>
                    <w:rPr>
                      <w:rFonts w:hint="default" w:eastAsia="宋体"/>
                      <w:sz w:val="22"/>
                      <w:szCs w:val="21"/>
                      <w:lang w:val="en-US" w:eastAsia="zh-CN"/>
                    </w:rPr>
                  </w:pPr>
                  <w:r>
                    <w:rPr>
                      <w:sz w:val="22"/>
                      <w:szCs w:val="21"/>
                    </w:rPr>
                    <w:t>项目厂界</w:t>
                  </w:r>
                  <w:r>
                    <w:rPr>
                      <w:rFonts w:hint="eastAsia"/>
                      <w:sz w:val="22"/>
                      <w:szCs w:val="21"/>
                      <w:lang w:val="en-US" w:eastAsia="zh-CN"/>
                    </w:rPr>
                    <w:t>四侧</w:t>
                  </w:r>
                </w:p>
              </w:tc>
              <w:tc>
                <w:tcPr>
                  <w:tcW w:w="4903" w:type="dxa"/>
                  <w:tcBorders>
                    <w:top w:val="single" w:color="auto" w:sz="4" w:space="0"/>
                    <w:bottom w:val="single" w:color="auto" w:sz="4" w:space="0"/>
                  </w:tcBorders>
                  <w:tcMar>
                    <w:top w:w="57" w:type="dxa"/>
                    <w:bottom w:w="57" w:type="dxa"/>
                  </w:tcMar>
                  <w:vAlign w:val="center"/>
                </w:tcPr>
                <w:p w14:paraId="5565F3FF">
                  <w:pPr>
                    <w:snapToGrid w:val="0"/>
                    <w:spacing w:line="240" w:lineRule="auto"/>
                    <w:ind w:firstLine="0" w:firstLineChars="0"/>
                    <w:jc w:val="center"/>
                    <w:rPr>
                      <w:sz w:val="22"/>
                      <w:szCs w:val="21"/>
                    </w:rPr>
                  </w:pPr>
                  <w:r>
                    <w:rPr>
                      <w:sz w:val="22"/>
                      <w:szCs w:val="21"/>
                    </w:rPr>
                    <w:t>《工业企业厂界环境噪声排放标准》(GB12348-2008)</w:t>
                  </w:r>
                  <w:r>
                    <w:rPr>
                      <w:rFonts w:hint="eastAsia"/>
                      <w:sz w:val="22"/>
                      <w:szCs w:val="21"/>
                      <w:lang w:val="en-US" w:eastAsia="zh-CN"/>
                    </w:rPr>
                    <w:t>2</w:t>
                  </w:r>
                  <w:r>
                    <w:rPr>
                      <w:sz w:val="22"/>
                      <w:szCs w:val="21"/>
                    </w:rPr>
                    <w:t>类</w:t>
                  </w:r>
                </w:p>
              </w:tc>
              <w:tc>
                <w:tcPr>
                  <w:tcW w:w="823" w:type="dxa"/>
                  <w:tcMar>
                    <w:top w:w="57" w:type="dxa"/>
                    <w:bottom w:w="57" w:type="dxa"/>
                  </w:tcMar>
                  <w:vAlign w:val="center"/>
                </w:tcPr>
                <w:p w14:paraId="12956724">
                  <w:pPr>
                    <w:snapToGrid w:val="0"/>
                    <w:spacing w:line="240" w:lineRule="auto"/>
                    <w:ind w:firstLine="0" w:firstLineChars="0"/>
                    <w:jc w:val="center"/>
                    <w:rPr>
                      <w:rFonts w:hint="default" w:eastAsia="宋体"/>
                      <w:sz w:val="22"/>
                      <w:szCs w:val="21"/>
                      <w:lang w:val="en-US" w:eastAsia="zh-CN"/>
                    </w:rPr>
                  </w:pPr>
                  <w:r>
                    <w:rPr>
                      <w:rFonts w:hint="eastAsia"/>
                      <w:sz w:val="22"/>
                      <w:szCs w:val="21"/>
                      <w:lang w:val="en-US" w:eastAsia="zh-CN"/>
                    </w:rPr>
                    <w:t>60</w:t>
                  </w:r>
                </w:p>
              </w:tc>
              <w:tc>
                <w:tcPr>
                  <w:tcW w:w="771" w:type="dxa"/>
                  <w:vAlign w:val="center"/>
                </w:tcPr>
                <w:p w14:paraId="6BB1AC2C">
                  <w:pPr>
                    <w:snapToGrid w:val="0"/>
                    <w:spacing w:line="240" w:lineRule="auto"/>
                    <w:ind w:firstLine="0" w:firstLineChars="0"/>
                    <w:jc w:val="center"/>
                    <w:rPr>
                      <w:rFonts w:hint="default" w:eastAsia="宋体"/>
                      <w:sz w:val="22"/>
                      <w:szCs w:val="21"/>
                      <w:lang w:val="en-US" w:eastAsia="zh-CN"/>
                    </w:rPr>
                  </w:pPr>
                  <w:r>
                    <w:rPr>
                      <w:rFonts w:hint="eastAsia"/>
                      <w:sz w:val="22"/>
                      <w:szCs w:val="21"/>
                      <w:lang w:val="en-US" w:eastAsia="zh-CN"/>
                    </w:rPr>
                    <w:t>50</w:t>
                  </w:r>
                </w:p>
              </w:tc>
            </w:tr>
          </w:tbl>
          <w:p w14:paraId="440092D1">
            <w:pPr>
              <w:adjustRightInd w:val="0"/>
              <w:snapToGrid w:val="0"/>
              <w:spacing w:line="300" w:lineRule="auto"/>
              <w:ind w:firstLine="482"/>
              <w:rPr>
                <w:b/>
                <w:bCs/>
                <w:szCs w:val="32"/>
              </w:rPr>
            </w:pPr>
            <w:r>
              <w:rPr>
                <w:b/>
                <w:bCs/>
                <w:szCs w:val="32"/>
              </w:rPr>
              <w:t>4、固体废物</w:t>
            </w:r>
          </w:p>
          <w:p w14:paraId="14FCBDAD">
            <w:pPr>
              <w:adjustRightInd w:val="0"/>
              <w:snapToGrid w:val="0"/>
              <w:spacing w:line="300" w:lineRule="auto"/>
              <w:ind w:firstLine="480"/>
              <w:rPr>
                <w:kern w:val="0"/>
                <w:szCs w:val="22"/>
              </w:rPr>
            </w:pPr>
            <w:r>
              <w:rPr>
                <w:kern w:val="0"/>
                <w:szCs w:val="22"/>
              </w:rPr>
              <w:t>一般固废贮存过程应满足相应防渗漏、防雨淋、防扬尘等环境保护要求；危险废物间的设置和危险废物的贮存执行《危险废物贮存污染控制标准》（GB18597-2023）；</w:t>
            </w:r>
          </w:p>
          <w:p w14:paraId="73D346CE">
            <w:pPr>
              <w:adjustRightInd w:val="0"/>
              <w:snapToGrid w:val="0"/>
              <w:ind w:firstLine="480"/>
              <w:jc w:val="left"/>
            </w:pPr>
          </w:p>
        </w:tc>
      </w:tr>
      <w:tr w14:paraId="3EFDA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14:paraId="36E06434">
            <w:pPr>
              <w:adjustRightInd w:val="0"/>
              <w:snapToGrid w:val="0"/>
              <w:spacing w:line="240" w:lineRule="auto"/>
              <w:ind w:firstLine="0" w:firstLineChars="0"/>
              <w:jc w:val="center"/>
              <w:rPr>
                <w:b/>
                <w:bCs/>
                <w:kern w:val="0"/>
                <w:sz w:val="28"/>
                <w:szCs w:val="28"/>
              </w:rPr>
            </w:pPr>
            <w:r>
              <w:rPr>
                <w:b/>
                <w:bCs/>
                <w:kern w:val="0"/>
                <w:sz w:val="28"/>
                <w:szCs w:val="28"/>
              </w:rPr>
              <w:t>总量</w:t>
            </w:r>
          </w:p>
          <w:p w14:paraId="04BEF6C1">
            <w:pPr>
              <w:adjustRightInd w:val="0"/>
              <w:snapToGrid w:val="0"/>
              <w:spacing w:line="240" w:lineRule="auto"/>
              <w:ind w:firstLine="0" w:firstLineChars="0"/>
              <w:jc w:val="center"/>
              <w:rPr>
                <w:b/>
                <w:bCs/>
                <w:kern w:val="0"/>
                <w:sz w:val="28"/>
                <w:szCs w:val="28"/>
              </w:rPr>
            </w:pPr>
            <w:r>
              <w:rPr>
                <w:b/>
                <w:bCs/>
                <w:kern w:val="0"/>
                <w:sz w:val="28"/>
                <w:szCs w:val="28"/>
              </w:rPr>
              <w:t>控制</w:t>
            </w:r>
          </w:p>
          <w:p w14:paraId="22AF407C">
            <w:pPr>
              <w:adjustRightInd w:val="0"/>
              <w:snapToGrid w:val="0"/>
              <w:spacing w:line="240" w:lineRule="auto"/>
              <w:ind w:firstLine="0" w:firstLineChars="0"/>
              <w:jc w:val="center"/>
              <w:rPr>
                <w:kern w:val="0"/>
                <w:szCs w:val="21"/>
              </w:rPr>
            </w:pPr>
            <w:r>
              <w:rPr>
                <w:b/>
                <w:bCs/>
                <w:kern w:val="0"/>
                <w:sz w:val="28"/>
                <w:szCs w:val="28"/>
              </w:rPr>
              <w:t>指标</w:t>
            </w:r>
          </w:p>
        </w:tc>
        <w:tc>
          <w:tcPr>
            <w:tcW w:w="8386" w:type="dxa"/>
            <w:vAlign w:val="center"/>
          </w:tcPr>
          <w:p w14:paraId="049E3AF6">
            <w:pPr>
              <w:adjustRightInd w:val="0"/>
              <w:snapToGrid w:val="0"/>
              <w:spacing w:line="300" w:lineRule="auto"/>
              <w:ind w:firstLine="480"/>
              <w:rPr>
                <w:kern w:val="0"/>
                <w:szCs w:val="22"/>
              </w:rPr>
            </w:pPr>
          </w:p>
          <w:p w14:paraId="39F03DB2">
            <w:pPr>
              <w:spacing w:line="243" w:lineRule="auto"/>
              <w:rPr>
                <w:rFonts w:ascii="Arial"/>
                <w:sz w:val="21"/>
              </w:rPr>
            </w:pPr>
          </w:p>
          <w:p w14:paraId="39577F66">
            <w:pPr>
              <w:pStyle w:val="112"/>
              <w:keepNext w:val="0"/>
              <w:keepLines w:val="0"/>
              <w:pageBreakBefore w:val="0"/>
              <w:widowControl w:val="0"/>
              <w:kinsoku/>
              <w:wordWrap/>
              <w:overflowPunct/>
              <w:topLinePunct w:val="0"/>
              <w:autoSpaceDE/>
              <w:autoSpaceDN/>
              <w:bidi w:val="0"/>
              <w:adjustRightInd w:val="0"/>
              <w:snapToGrid w:val="0"/>
              <w:spacing w:line="360" w:lineRule="auto"/>
              <w:ind w:left="108" w:right="5" w:firstLine="418"/>
              <w:textAlignment w:val="auto"/>
              <w:rPr>
                <w:rFonts w:ascii="Times New Roman" w:hAnsi="Times New Roman" w:eastAsia="宋体" w:cs="Times New Roman"/>
                <w:kern w:val="0"/>
                <w:sz w:val="24"/>
                <w:szCs w:val="22"/>
                <w:lang w:val="en-US" w:eastAsia="zh-CN" w:bidi="ar-SA"/>
              </w:rPr>
            </w:pPr>
            <w:r>
              <w:rPr>
                <w:rFonts w:ascii="Times New Roman" w:hAnsi="Times New Roman" w:eastAsia="宋体" w:cs="Times New Roman"/>
                <w:kern w:val="0"/>
                <w:sz w:val="24"/>
                <w:szCs w:val="22"/>
                <w:lang w:val="en-US" w:eastAsia="zh-CN" w:bidi="ar-SA"/>
              </w:rPr>
              <w:t>根据《广东省环境保护厅关于印发广东省环境保护“十三五”规划的通知》（粤环【2016】51号）、《国务院关于印发</w:t>
            </w:r>
            <w:r>
              <w:rPr>
                <w:rFonts w:hint="eastAsia" w:ascii="Times New Roman" w:hAnsi="Times New Roman" w:cs="Times New Roman"/>
                <w:kern w:val="0"/>
                <w:sz w:val="24"/>
                <w:szCs w:val="22"/>
                <w:lang w:val="en-US" w:eastAsia="zh-CN" w:bidi="ar-SA"/>
              </w:rPr>
              <w:t>“</w:t>
            </w:r>
            <w:r>
              <w:rPr>
                <w:rFonts w:ascii="Times New Roman" w:hAnsi="Times New Roman" w:eastAsia="宋体" w:cs="Times New Roman"/>
                <w:kern w:val="0"/>
                <w:sz w:val="24"/>
                <w:szCs w:val="22"/>
                <w:lang w:val="en-US" w:eastAsia="zh-CN" w:bidi="ar-SA"/>
              </w:rPr>
              <w:t>十三五</w:t>
            </w:r>
            <w:r>
              <w:rPr>
                <w:rFonts w:hint="eastAsia" w:ascii="Times New Roman" w:hAnsi="Times New Roman" w:cs="Times New Roman"/>
                <w:kern w:val="0"/>
                <w:sz w:val="24"/>
                <w:szCs w:val="22"/>
                <w:lang w:val="en-US" w:eastAsia="zh-CN" w:bidi="ar-SA"/>
              </w:rPr>
              <w:t>”</w:t>
            </w:r>
            <w:r>
              <w:rPr>
                <w:rFonts w:ascii="Times New Roman" w:hAnsi="Times New Roman" w:eastAsia="宋体" w:cs="Times New Roman"/>
                <w:kern w:val="0"/>
                <w:sz w:val="24"/>
                <w:szCs w:val="22"/>
                <w:lang w:val="en-US" w:eastAsia="zh-CN" w:bidi="ar-SA"/>
              </w:rPr>
              <w:t>生态环境保护规划的通知》（国发〔2016〕65号）、《国务院关于印发大气污染防治行动计划的通知》（国发 2010337 号）和《汕头市</w:t>
            </w:r>
            <w:r>
              <w:rPr>
                <w:rFonts w:hint="eastAsia" w:ascii="Times New Roman" w:hAnsi="Times New Roman" w:cs="Times New Roman"/>
                <w:kern w:val="0"/>
                <w:sz w:val="24"/>
                <w:szCs w:val="22"/>
                <w:lang w:val="en-US" w:eastAsia="zh-CN" w:bidi="ar-SA"/>
              </w:rPr>
              <w:t>“</w:t>
            </w:r>
            <w:r>
              <w:rPr>
                <w:rFonts w:ascii="Times New Roman" w:hAnsi="Times New Roman" w:eastAsia="宋体" w:cs="Times New Roman"/>
                <w:kern w:val="0"/>
                <w:sz w:val="24"/>
                <w:szCs w:val="22"/>
                <w:lang w:val="en-US" w:eastAsia="zh-CN" w:bidi="ar-SA"/>
              </w:rPr>
              <w:t>十三五</w:t>
            </w:r>
            <w:r>
              <w:rPr>
                <w:rFonts w:hint="eastAsia" w:ascii="Times New Roman" w:hAnsi="Times New Roman" w:cs="Times New Roman"/>
                <w:kern w:val="0"/>
                <w:sz w:val="24"/>
                <w:szCs w:val="22"/>
                <w:lang w:val="en-US" w:eastAsia="zh-CN" w:bidi="ar-SA"/>
              </w:rPr>
              <w:t>”</w:t>
            </w:r>
            <w:r>
              <w:rPr>
                <w:rFonts w:ascii="Times New Roman" w:hAnsi="Times New Roman" w:eastAsia="宋体" w:cs="Times New Roman"/>
                <w:kern w:val="0"/>
                <w:sz w:val="24"/>
                <w:szCs w:val="22"/>
                <w:lang w:val="en-US" w:eastAsia="zh-CN" w:bidi="ar-SA"/>
              </w:rPr>
              <w:t>主要污染物排放总量控制计划》，评价建议给出项目的污染物总量控制指标为：</w:t>
            </w:r>
          </w:p>
          <w:p w14:paraId="2E030165">
            <w:pPr>
              <w:pStyle w:val="1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kern w:val="0"/>
                <w:sz w:val="24"/>
                <w:szCs w:val="22"/>
                <w:lang w:val="en-US" w:eastAsia="zh-CN" w:bidi="ar-SA"/>
              </w:rPr>
            </w:pPr>
            <w:r>
              <w:rPr>
                <w:rFonts w:ascii="Times New Roman" w:hAnsi="Times New Roman" w:eastAsia="宋体" w:cs="Times New Roman"/>
                <w:kern w:val="0"/>
                <w:sz w:val="24"/>
                <w:szCs w:val="22"/>
                <w:lang w:val="en-US" w:eastAsia="zh-CN" w:bidi="ar-SA"/>
              </w:rPr>
              <w:t>（1）废水</w:t>
            </w:r>
          </w:p>
          <w:p w14:paraId="1C7D7519">
            <w:pPr>
              <w:pStyle w:val="112"/>
              <w:keepNext w:val="0"/>
              <w:keepLines w:val="0"/>
              <w:pageBreakBefore w:val="0"/>
              <w:widowControl w:val="0"/>
              <w:kinsoku/>
              <w:wordWrap/>
              <w:overflowPunct/>
              <w:topLinePunct w:val="0"/>
              <w:autoSpaceDE/>
              <w:autoSpaceDN/>
              <w:bidi w:val="0"/>
              <w:adjustRightInd w:val="0"/>
              <w:snapToGrid w:val="0"/>
              <w:spacing w:line="360" w:lineRule="auto"/>
              <w:ind w:left="122" w:right="102" w:firstLine="405"/>
              <w:textAlignment w:val="auto"/>
              <w:rPr>
                <w:rFonts w:ascii="Times New Roman" w:hAnsi="Times New Roman" w:eastAsia="宋体" w:cs="Times New Roman"/>
                <w:kern w:val="0"/>
                <w:sz w:val="24"/>
                <w:szCs w:val="22"/>
                <w:lang w:val="en-US" w:eastAsia="zh-CN" w:bidi="ar-SA"/>
              </w:rPr>
            </w:pPr>
            <w:r>
              <w:rPr>
                <w:rFonts w:ascii="Times New Roman" w:hAnsi="Times New Roman" w:eastAsia="宋体" w:cs="Times New Roman"/>
                <w:kern w:val="0"/>
                <w:sz w:val="24"/>
                <w:szCs w:val="22"/>
                <w:lang w:val="en-US" w:eastAsia="zh-CN" w:bidi="ar-SA"/>
              </w:rPr>
              <w:t>本项目</w:t>
            </w:r>
            <w:r>
              <w:rPr>
                <w:rFonts w:hint="eastAsia" w:ascii="Times New Roman" w:hAnsi="Times New Roman" w:cs="Times New Roman"/>
                <w:kern w:val="0"/>
                <w:sz w:val="24"/>
                <w:szCs w:val="22"/>
                <w:lang w:val="en-US" w:eastAsia="zh-CN" w:bidi="ar-SA"/>
              </w:rPr>
              <w:t>废水主要为生活污水</w:t>
            </w:r>
            <w:r>
              <w:rPr>
                <w:rFonts w:ascii="Times New Roman" w:hAnsi="Times New Roman" w:eastAsia="宋体" w:cs="Times New Roman"/>
                <w:kern w:val="0"/>
                <w:sz w:val="24"/>
                <w:szCs w:val="22"/>
                <w:lang w:val="en-US" w:eastAsia="zh-CN" w:bidi="ar-SA"/>
              </w:rPr>
              <w:t>，由于项目区域污水管网已接通潮阳区污水处理厂，项目产生的废水排入污水管网，纳入潮阳区污水处理厂集中处理，项目废水排放总量已纳入潮阳区污水处理厂调剂范畴，无需另行申请。</w:t>
            </w:r>
          </w:p>
          <w:p w14:paraId="1B4C2B33">
            <w:pPr>
              <w:pStyle w:val="1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kern w:val="0"/>
                <w:sz w:val="24"/>
                <w:szCs w:val="22"/>
                <w:highlight w:val="none"/>
                <w:lang w:val="en-US" w:eastAsia="zh-CN" w:bidi="ar-SA"/>
              </w:rPr>
            </w:pPr>
            <w:r>
              <w:rPr>
                <w:rFonts w:ascii="Times New Roman" w:hAnsi="Times New Roman" w:eastAsia="宋体" w:cs="Times New Roman"/>
                <w:kern w:val="0"/>
                <w:sz w:val="24"/>
                <w:szCs w:val="22"/>
                <w:highlight w:val="none"/>
                <w:lang w:val="en-US" w:eastAsia="zh-CN" w:bidi="ar-SA"/>
              </w:rPr>
              <w:t>（2）大气污染物排放总量控制指标</w:t>
            </w:r>
          </w:p>
          <w:p w14:paraId="25E5FC99">
            <w:pPr>
              <w:pStyle w:val="1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kern w:val="0"/>
                <w:sz w:val="24"/>
                <w:szCs w:val="22"/>
                <w:highlight w:val="none"/>
                <w:lang w:val="en-US" w:eastAsia="zh-CN" w:bidi="ar-SA"/>
              </w:rPr>
            </w:pPr>
            <w:r>
              <w:rPr>
                <w:rFonts w:hint="eastAsia" w:ascii="Times New Roman" w:hAnsi="Times New Roman" w:eastAsia="宋体" w:cs="Times New Roman"/>
                <w:kern w:val="0"/>
                <w:sz w:val="24"/>
                <w:szCs w:val="22"/>
                <w:highlight w:val="none"/>
                <w:lang w:val="en-US" w:eastAsia="zh-CN" w:bidi="ar-SA"/>
              </w:rPr>
              <w:t>本项目VOCs排放量为</w:t>
            </w:r>
            <w:r>
              <w:rPr>
                <w:rFonts w:hint="eastAsia" w:ascii="Times New Roman" w:hAnsi="Times New Roman" w:cs="Times New Roman"/>
                <w:kern w:val="0"/>
                <w:sz w:val="24"/>
                <w:szCs w:val="22"/>
                <w:highlight w:val="none"/>
                <w:lang w:val="en-US" w:eastAsia="zh-CN" w:bidi="ar-SA"/>
              </w:rPr>
              <w:t>1.435</w:t>
            </w:r>
            <w:r>
              <w:rPr>
                <w:rFonts w:hint="eastAsia" w:ascii="Times New Roman" w:hAnsi="Times New Roman" w:eastAsia="宋体" w:cs="Times New Roman"/>
                <w:kern w:val="0"/>
                <w:sz w:val="24"/>
                <w:szCs w:val="22"/>
                <w:highlight w:val="none"/>
                <w:lang w:val="en-US" w:eastAsia="zh-CN" w:bidi="ar-SA"/>
              </w:rPr>
              <w:t>t/a（有组织：1.</w:t>
            </w:r>
            <w:r>
              <w:rPr>
                <w:rFonts w:hint="eastAsia" w:ascii="Times New Roman" w:hAnsi="Times New Roman" w:cs="Times New Roman"/>
                <w:kern w:val="0"/>
                <w:sz w:val="24"/>
                <w:szCs w:val="22"/>
                <w:highlight w:val="none"/>
                <w:lang w:val="en-US" w:eastAsia="zh-CN" w:bidi="ar-SA"/>
              </w:rPr>
              <w:t>186</w:t>
            </w:r>
            <w:r>
              <w:rPr>
                <w:rFonts w:hint="eastAsia" w:ascii="Times New Roman" w:hAnsi="Times New Roman" w:eastAsia="宋体" w:cs="Times New Roman"/>
                <w:kern w:val="0"/>
                <w:sz w:val="24"/>
                <w:szCs w:val="22"/>
                <w:highlight w:val="none"/>
                <w:lang w:val="en-US" w:eastAsia="zh-CN" w:bidi="ar-SA"/>
              </w:rPr>
              <w:t>t/a ，无组织 0.</w:t>
            </w:r>
            <w:r>
              <w:rPr>
                <w:rFonts w:hint="eastAsia" w:ascii="Times New Roman" w:hAnsi="Times New Roman" w:cs="Times New Roman"/>
                <w:kern w:val="0"/>
                <w:sz w:val="24"/>
                <w:szCs w:val="22"/>
                <w:highlight w:val="none"/>
                <w:lang w:val="en-US" w:eastAsia="zh-CN" w:bidi="ar-SA"/>
              </w:rPr>
              <w:t>25</w:t>
            </w:r>
            <w:r>
              <w:rPr>
                <w:rFonts w:hint="eastAsia" w:ascii="Times New Roman" w:hAnsi="Times New Roman" w:eastAsia="宋体" w:cs="Times New Roman"/>
                <w:kern w:val="0"/>
                <w:sz w:val="24"/>
                <w:szCs w:val="22"/>
                <w:highlight w:val="none"/>
                <w:lang w:val="en-US" w:eastAsia="zh-CN" w:bidi="ar-SA"/>
              </w:rPr>
              <w:t>t/a）。根据《广东省生态环境厅关 于做好重点行业建设项目挥发性有机物总量指标管理工作的通知》 （粤环发 〔2019〕2 号），“对 VOCs 排放量大于 300 公斤/年的新、改、扩建项目，进行 总量替代。 ”</w:t>
            </w:r>
          </w:p>
          <w:p w14:paraId="4F49A204">
            <w:pPr>
              <w:pStyle w:val="1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kern w:val="0"/>
                <w:sz w:val="24"/>
                <w:szCs w:val="22"/>
                <w:highlight w:val="yellow"/>
                <w:lang w:val="en-US" w:eastAsia="zh-CN" w:bidi="ar-SA"/>
              </w:rPr>
            </w:pPr>
            <w:r>
              <w:rPr>
                <w:rFonts w:hint="eastAsia" w:ascii="Times New Roman" w:hAnsi="Times New Roman" w:eastAsia="宋体" w:cs="Times New Roman"/>
                <w:kern w:val="0"/>
                <w:sz w:val="24"/>
                <w:szCs w:val="22"/>
                <w:highlight w:val="none"/>
                <w:lang w:val="en-US" w:eastAsia="zh-CN" w:bidi="ar-SA"/>
              </w:rPr>
              <w:t>本项目VOCs 排放量</w:t>
            </w:r>
            <w:r>
              <w:rPr>
                <w:rFonts w:hint="eastAsia" w:ascii="Times New Roman" w:hAnsi="Times New Roman" w:cs="Times New Roman"/>
                <w:kern w:val="0"/>
                <w:sz w:val="24"/>
                <w:szCs w:val="22"/>
                <w:highlight w:val="none"/>
                <w:lang w:val="en-US" w:eastAsia="zh-CN" w:bidi="ar-SA"/>
              </w:rPr>
              <w:t>1.435t/a</w:t>
            </w:r>
            <w:r>
              <w:rPr>
                <w:rFonts w:hint="eastAsia" w:ascii="Times New Roman" w:hAnsi="Times New Roman" w:eastAsia="宋体" w:cs="Times New Roman"/>
                <w:kern w:val="0"/>
                <w:sz w:val="24"/>
                <w:szCs w:val="22"/>
                <w:highlight w:val="none"/>
                <w:lang w:val="en-US" w:eastAsia="zh-CN" w:bidi="ar-SA"/>
              </w:rPr>
              <w:t>，大于 300kg/a ，因此，建设单位应根据本报告核定的 VOCs 排放量作为总量控制建议指标。建设单位已向审批部门提出总量申请，</w:t>
            </w:r>
            <w:r>
              <w:rPr>
                <w:rFonts w:hint="eastAsia" w:ascii="Times New Roman" w:hAnsi="Times New Roman" w:cs="Times New Roman"/>
                <w:kern w:val="0"/>
                <w:sz w:val="24"/>
                <w:szCs w:val="22"/>
                <w:highlight w:val="none"/>
                <w:lang w:val="en-US" w:eastAsia="zh-CN" w:bidi="ar-SA"/>
              </w:rPr>
              <w:t>由</w:t>
            </w:r>
            <w:r>
              <w:rPr>
                <w:rFonts w:hint="eastAsia" w:ascii="Times New Roman" w:hAnsi="Times New Roman" w:eastAsia="宋体" w:cs="Times New Roman"/>
                <w:kern w:val="0"/>
                <w:sz w:val="24"/>
                <w:szCs w:val="22"/>
                <w:highlight w:val="none"/>
                <w:lang w:val="en-US" w:eastAsia="zh-CN" w:bidi="ar-SA"/>
              </w:rPr>
              <w:t>审批部门</w:t>
            </w:r>
            <w:r>
              <w:rPr>
                <w:rFonts w:hint="eastAsia" w:ascii="Times New Roman" w:hAnsi="Times New Roman" w:cs="Times New Roman"/>
                <w:kern w:val="0"/>
                <w:sz w:val="24"/>
                <w:szCs w:val="22"/>
                <w:highlight w:val="none"/>
                <w:lang w:val="en-US" w:eastAsia="zh-CN" w:bidi="ar-SA"/>
              </w:rPr>
              <w:t>在区域消减量</w:t>
            </w:r>
            <w:r>
              <w:rPr>
                <w:rFonts w:hint="eastAsia" w:ascii="Times New Roman" w:hAnsi="Times New Roman" w:eastAsia="宋体" w:cs="Times New Roman"/>
                <w:kern w:val="0"/>
                <w:sz w:val="24"/>
                <w:szCs w:val="22"/>
                <w:highlight w:val="none"/>
                <w:lang w:val="en-US" w:eastAsia="zh-CN" w:bidi="ar-SA"/>
              </w:rPr>
              <w:t>中调剂。</w:t>
            </w:r>
          </w:p>
          <w:p w14:paraId="75628DAA">
            <w:pPr>
              <w:pStyle w:val="1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kern w:val="0"/>
                <w:sz w:val="24"/>
                <w:szCs w:val="22"/>
                <w:lang w:val="en-US" w:eastAsia="zh-CN" w:bidi="ar-SA"/>
              </w:rPr>
            </w:pPr>
            <w:r>
              <w:rPr>
                <w:rFonts w:ascii="Times New Roman" w:hAnsi="Times New Roman" w:eastAsia="宋体" w:cs="Times New Roman"/>
                <w:kern w:val="0"/>
                <w:sz w:val="24"/>
                <w:szCs w:val="22"/>
                <w:lang w:val="en-US" w:eastAsia="zh-CN" w:bidi="ar-SA"/>
              </w:rPr>
              <w:t>（3）固体废物污染总量控制指标</w:t>
            </w:r>
          </w:p>
          <w:p w14:paraId="4249A748">
            <w:pPr>
              <w:pStyle w:val="39"/>
              <w:keepNext w:val="0"/>
              <w:keepLines w:val="0"/>
              <w:pageBreakBefore w:val="0"/>
              <w:widowControl w:val="0"/>
              <w:kinsoku/>
              <w:wordWrap/>
              <w:overflowPunct/>
              <w:topLinePunct w:val="0"/>
              <w:autoSpaceDE/>
              <w:autoSpaceDN/>
              <w:bidi w:val="0"/>
              <w:adjustRightInd w:val="0"/>
              <w:snapToGrid w:val="0"/>
              <w:spacing w:line="360" w:lineRule="auto"/>
              <w:ind w:right="19" w:firstLine="480"/>
              <w:textAlignment w:val="auto"/>
              <w:rPr>
                <w:rFonts w:ascii="Times New Roman"/>
              </w:rPr>
            </w:pPr>
            <w:r>
              <w:rPr>
                <w:rFonts w:ascii="Times New Roman" w:hAnsi="Times New Roman" w:eastAsia="宋体" w:cs="Times New Roman"/>
                <w:kern w:val="0"/>
                <w:sz w:val="24"/>
                <w:szCs w:val="22"/>
                <w:lang w:val="en-US" w:eastAsia="zh-CN" w:bidi="ar-SA"/>
              </w:rPr>
              <w:t>本项目产生的固体废物均进行综合处理处置</w:t>
            </w:r>
            <w:bookmarkStart w:id="35" w:name="_GoBack"/>
            <w:bookmarkEnd w:id="35"/>
            <w:r>
              <w:rPr>
                <w:rFonts w:ascii="Times New Roman" w:hAnsi="Times New Roman" w:eastAsia="宋体" w:cs="Times New Roman"/>
                <w:kern w:val="0"/>
                <w:sz w:val="24"/>
                <w:szCs w:val="22"/>
                <w:lang w:val="en-US" w:eastAsia="zh-CN" w:bidi="ar-SA"/>
              </w:rPr>
              <w:t>，不外排，故本项目推荐固体废物污染排放总量控制指标为零。</w:t>
            </w:r>
          </w:p>
        </w:tc>
      </w:tr>
    </w:tbl>
    <w:p w14:paraId="60353E40">
      <w:pPr>
        <w:sectPr>
          <w:pgSz w:w="11907" w:h="16840"/>
          <w:pgMar w:top="1701" w:right="1531" w:bottom="2127" w:left="1531" w:header="851" w:footer="851" w:gutter="0"/>
          <w:pgBorders>
            <w:top w:val="none" w:sz="0" w:space="0"/>
            <w:left w:val="none" w:sz="0" w:space="0"/>
            <w:bottom w:val="none" w:sz="0" w:space="0"/>
            <w:right w:val="none" w:sz="0" w:space="0"/>
          </w:pgBorders>
          <w:pgNumType w:fmt="numberInDash"/>
          <w:cols w:space="720" w:num="1"/>
          <w:docGrid w:linePitch="312" w:charSpace="0"/>
        </w:sectPr>
      </w:pPr>
      <w:bookmarkStart w:id="21" w:name="_Toc11642"/>
      <w:bookmarkStart w:id="22" w:name="_Toc24787"/>
    </w:p>
    <w:p w14:paraId="6353A0E1">
      <w:pPr>
        <w:pStyle w:val="2"/>
        <w:numPr>
          <w:ilvl w:val="0"/>
          <w:numId w:val="5"/>
        </w:numPr>
        <w:adjustRightInd w:val="0"/>
        <w:spacing w:line="300" w:lineRule="auto"/>
        <w:ind w:left="0" w:firstLine="0" w:firstLineChars="0"/>
        <w:rPr>
          <w:rFonts w:hint="eastAsia"/>
          <w:lang w:eastAsia="zh-CN"/>
        </w:rPr>
      </w:pPr>
      <w:r>
        <w:rPr>
          <w:color w:val="auto"/>
          <w:sz w:val="28"/>
          <w:szCs w:val="28"/>
        </w:rPr>
        <w:t>主要环境影响和保护措施</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8506"/>
      </w:tblGrid>
      <w:tr w14:paraId="1AAB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6" w:hRule="atLeast"/>
        </w:trPr>
        <w:tc>
          <w:tcPr>
            <w:tcW w:w="555" w:type="dxa"/>
            <w:vAlign w:val="center"/>
          </w:tcPr>
          <w:p w14:paraId="2570A55C">
            <w:pPr>
              <w:ind w:left="0" w:leftChars="0" w:firstLine="0" w:firstLineChars="0"/>
              <w:jc w:val="center"/>
              <w:rPr>
                <w:rFonts w:hint="eastAsia"/>
                <w:vertAlign w:val="baseline"/>
                <w:lang w:eastAsia="zh-CN"/>
              </w:rPr>
            </w:pPr>
            <w:r>
              <w:rPr>
                <w:rFonts w:ascii="Times New Roman" w:hAnsi="Times New Roman"/>
                <w:b/>
                <w:bCs/>
                <w:kern w:val="2"/>
                <w:sz w:val="28"/>
                <w:szCs w:val="28"/>
              </w:rPr>
              <w:t>施工期环境保护措施</w:t>
            </w:r>
          </w:p>
        </w:tc>
        <w:tc>
          <w:tcPr>
            <w:tcW w:w="8506" w:type="dxa"/>
            <w:vAlign w:val="center"/>
          </w:tcPr>
          <w:p w14:paraId="3A2931E2">
            <w:pPr>
              <w:jc w:val="both"/>
              <w:rPr>
                <w:rFonts w:hint="eastAsia"/>
                <w:vertAlign w:val="baseline"/>
                <w:lang w:eastAsia="zh-CN"/>
              </w:rPr>
            </w:pPr>
            <w:r>
              <w:t>本项目为</w:t>
            </w:r>
            <w:r>
              <w:rPr>
                <w:rFonts w:hint="eastAsia"/>
                <w:lang w:val="en-US" w:eastAsia="zh-CN"/>
              </w:rPr>
              <w:t>租用现有厂房进行建设</w:t>
            </w:r>
            <w:r>
              <w:t>。施工期过程主要为装修、生产设备、环保设备安装，施工应在允许施工时间内进行，施工产生的粉尘可通过洒水降尘处理；施工噪声可经墙体隔声和自然衰减，涉及振动的机械设备需进行底座减震等措施。项目施工周期短，随着施工活动结束，施工期环境影响随即消失。综上，施工期对整体环境影响较小，在可接受范围内。</w:t>
            </w:r>
          </w:p>
        </w:tc>
      </w:tr>
    </w:tbl>
    <w:p w14:paraId="6FE59033">
      <w:pPr>
        <w:ind w:left="0" w:leftChars="0" w:firstLine="0" w:firstLineChars="0"/>
        <w:rPr>
          <w:rFonts w:hint="eastAsia"/>
          <w:lang w:eastAsia="zh-CN"/>
        </w:rPr>
      </w:pPr>
    </w:p>
    <w:p w14:paraId="12599040"/>
    <w:p w14:paraId="763E15DD"/>
    <w:p w14:paraId="451845F2">
      <w:pPr>
        <w:sectPr>
          <w:pgSz w:w="11907" w:h="16840"/>
          <w:pgMar w:top="1701" w:right="1531" w:bottom="2127"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bookmarkEnd w:id="21"/>
    <w:bookmarkEnd w:id="22"/>
    <w:tbl>
      <w:tblPr>
        <w:tblStyle w:val="31"/>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6"/>
        <w:gridCol w:w="8645"/>
      </w:tblGrid>
      <w:tr w14:paraId="50432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8" w:hRule="atLeast"/>
          <w:jc w:val="center"/>
        </w:trPr>
        <w:tc>
          <w:tcPr>
            <w:tcW w:w="336" w:type="dxa"/>
            <w:tcMar>
              <w:left w:w="28" w:type="dxa"/>
              <w:right w:w="28" w:type="dxa"/>
            </w:tcMar>
            <w:vAlign w:val="center"/>
          </w:tcPr>
          <w:p w14:paraId="7BDFD975">
            <w:pPr>
              <w:adjustRightInd w:val="0"/>
              <w:snapToGrid w:val="0"/>
              <w:spacing w:line="240" w:lineRule="auto"/>
              <w:ind w:firstLine="0" w:firstLineChars="0"/>
              <w:jc w:val="center"/>
              <w:rPr>
                <w:b/>
                <w:bCs/>
                <w:sz w:val="28"/>
                <w:szCs w:val="28"/>
              </w:rPr>
            </w:pPr>
            <w:r>
              <w:rPr>
                <w:b/>
                <w:sz w:val="28"/>
                <w:szCs w:val="28"/>
              </w:rPr>
              <w:t>营期环境影响和保护措施</w:t>
            </w:r>
          </w:p>
        </w:tc>
        <w:tc>
          <w:tcPr>
            <w:tcW w:w="8645" w:type="dxa"/>
            <w:vAlign w:val="center"/>
          </w:tcPr>
          <w:p w14:paraId="3F049D6C">
            <w:pPr>
              <w:numPr>
                <w:ilvl w:val="0"/>
                <w:numId w:val="0"/>
              </w:numPr>
              <w:ind w:firstLine="482" w:firstLineChars="200"/>
              <w:rPr>
                <w:rFonts w:hint="eastAsia"/>
                <w:b/>
                <w:bCs/>
                <w:vertAlign w:val="baseline"/>
                <w:lang w:val="en-US" w:eastAsia="zh-CN"/>
              </w:rPr>
            </w:pPr>
            <w:r>
              <w:rPr>
                <w:rFonts w:hint="eastAsia"/>
                <w:b/>
                <w:bCs/>
                <w:vertAlign w:val="baseline"/>
                <w:lang w:val="en-US" w:eastAsia="zh-CN"/>
              </w:rPr>
              <w:t>4.1废气</w:t>
            </w:r>
          </w:p>
          <w:p w14:paraId="08177052">
            <w:pPr>
              <w:adjustRightInd w:val="0"/>
              <w:snapToGrid w:val="0"/>
              <w:spacing w:line="300" w:lineRule="auto"/>
              <w:ind w:firstLine="482"/>
              <w:rPr>
                <w:rFonts w:hint="default" w:eastAsia="宋体"/>
                <w:b/>
                <w:bCs/>
                <w:szCs w:val="32"/>
                <w:lang w:val="en-US" w:eastAsia="zh-CN"/>
              </w:rPr>
            </w:pPr>
            <w:r>
              <w:rPr>
                <w:rFonts w:hint="eastAsia"/>
                <w:b/>
                <w:bCs/>
                <w:szCs w:val="32"/>
                <w:lang w:val="en-US" w:eastAsia="zh-CN"/>
              </w:rPr>
              <w:t>1、</w:t>
            </w:r>
            <w:r>
              <w:rPr>
                <w:b/>
                <w:bCs/>
                <w:szCs w:val="32"/>
              </w:rPr>
              <w:t>废气</w:t>
            </w:r>
            <w:r>
              <w:rPr>
                <w:rFonts w:hint="eastAsia"/>
                <w:b/>
                <w:bCs/>
                <w:szCs w:val="32"/>
                <w:lang w:val="en-US" w:eastAsia="zh-CN"/>
              </w:rPr>
              <w:t>产生量及处理方式</w:t>
            </w:r>
          </w:p>
          <w:p w14:paraId="6B02D4CF">
            <w:pPr>
              <w:adjustRightInd w:val="0"/>
              <w:snapToGrid w:val="0"/>
              <w:spacing w:line="300" w:lineRule="auto"/>
              <w:ind w:firstLine="520"/>
              <w:rPr>
                <w:rFonts w:hint="default"/>
                <w:b/>
                <w:bCs/>
                <w:szCs w:val="32"/>
                <w:lang w:val="en-US" w:eastAsia="zh-CN"/>
              </w:rPr>
            </w:pPr>
            <w:r>
              <w:rPr>
                <w:rFonts w:hint="eastAsia"/>
                <w:b w:val="0"/>
                <w:bCs w:val="0"/>
                <w:szCs w:val="32"/>
                <w:lang w:val="en-US" w:eastAsia="zh-CN"/>
              </w:rPr>
              <w:t>本项目使用浮顶罐储存工业白油，由于工业白油主要成分为C15~C30的饱和烷烃，沸点大于250℃，且浮顶罐采用氮封处理，储罐大小呼吸产生的有机废气基本可以忽略不计。本次评价主要关注</w:t>
            </w:r>
            <w:r>
              <w:rPr>
                <w:rFonts w:hint="eastAsia"/>
                <w:b w:val="0"/>
                <w:bCs w:val="0"/>
                <w:spacing w:val="10"/>
                <w:lang w:val="en-US" w:eastAsia="zh-CN"/>
              </w:rPr>
              <w:t>精炼酶生产过程投料、混合及分装工序产生的粉尘及</w:t>
            </w:r>
            <w:r>
              <w:rPr>
                <w:rFonts w:hint="eastAsia"/>
                <w:spacing w:val="10"/>
                <w:lang w:val="en-US" w:eastAsia="zh-CN"/>
              </w:rPr>
              <w:t>有机助剂生产过程搅拌及分装工序产生的有机废气。</w:t>
            </w:r>
          </w:p>
          <w:p w14:paraId="11B401D4">
            <w:pPr>
              <w:adjustRightInd w:val="0"/>
              <w:snapToGrid w:val="0"/>
              <w:spacing w:line="300" w:lineRule="auto"/>
              <w:ind w:firstLine="520"/>
              <w:rPr>
                <w:rFonts w:hint="default"/>
                <w:b/>
                <w:bCs/>
                <w:spacing w:val="10"/>
                <w:lang w:val="en-US" w:eastAsia="zh-CN"/>
              </w:rPr>
            </w:pPr>
            <w:r>
              <w:rPr>
                <w:rFonts w:hint="eastAsia"/>
                <w:b/>
                <w:bCs/>
                <w:szCs w:val="32"/>
                <w:lang w:val="en-US" w:eastAsia="zh-CN"/>
              </w:rPr>
              <w:t>（一）</w:t>
            </w:r>
            <w:r>
              <w:rPr>
                <w:rFonts w:hint="eastAsia"/>
                <w:b/>
                <w:bCs/>
                <w:spacing w:val="10"/>
                <w:lang w:val="en-US" w:eastAsia="zh-CN"/>
              </w:rPr>
              <w:t>粉尘</w:t>
            </w:r>
          </w:p>
          <w:p w14:paraId="74320748">
            <w:pPr>
              <w:adjustRightInd w:val="0"/>
              <w:snapToGrid w:val="0"/>
              <w:spacing w:line="300" w:lineRule="auto"/>
              <w:ind w:firstLine="520"/>
              <w:rPr>
                <w:rFonts w:hint="default"/>
                <w:lang w:val="en-US"/>
              </w:rPr>
            </w:pPr>
            <w:r>
              <w:rPr>
                <w:rFonts w:hint="eastAsia"/>
                <w:b w:val="0"/>
                <w:bCs w:val="0"/>
                <w:spacing w:val="10"/>
                <w:lang w:val="en-US" w:eastAsia="zh-CN"/>
              </w:rPr>
              <w:t>本项目精炼酶生产过程会使用粉料原料，投料、混合及分装过程会产生一定的粉尘。参考</w:t>
            </w:r>
            <w:r>
              <w:rPr>
                <w:rFonts w:hint="eastAsia"/>
                <w:spacing w:val="10"/>
                <w:lang w:val="en-US" w:eastAsia="zh-CN"/>
              </w:rPr>
              <w:t>《排放源统计调查产排污核算方法和系数手册》（公告 2021 年第 24 号）中的2669 其他专用化学品制造行业系数表中物理混合颗粒物产物系数为0.14千克/吨-产品。本项目精炼酶产量为250吨/年，则颗粒物产生量为0.035吨/年。</w:t>
            </w:r>
          </w:p>
          <w:p w14:paraId="27F4B366">
            <w:pPr>
              <w:adjustRightInd w:val="0"/>
              <w:snapToGrid w:val="0"/>
              <w:spacing w:line="300" w:lineRule="auto"/>
              <w:ind w:firstLine="482"/>
              <w:rPr>
                <w:rFonts w:hint="default"/>
                <w:b/>
                <w:bCs/>
                <w:spacing w:val="10"/>
                <w:lang w:val="en-US" w:eastAsia="zh-CN"/>
              </w:rPr>
            </w:pPr>
            <w:r>
              <w:rPr>
                <w:rFonts w:hint="eastAsia"/>
                <w:b w:val="0"/>
                <w:bCs w:val="0"/>
                <w:spacing w:val="10"/>
                <w:lang w:val="en-US" w:eastAsia="zh-CN"/>
              </w:rPr>
              <w:t>建设单位在粉状混合机上方投料工作台设置半密闭集气罩收集投料及混合粉尘，下方分装工位上同样设置半密闭集气罩收集分装废气，共设置2个半密闭集气罩。收集风量2000m</w:t>
            </w:r>
            <w:r>
              <w:rPr>
                <w:rFonts w:hint="eastAsia"/>
                <w:b w:val="0"/>
                <w:bCs w:val="0"/>
                <w:spacing w:val="10"/>
                <w:vertAlign w:val="superscript"/>
                <w:lang w:val="en-US" w:eastAsia="zh-CN"/>
              </w:rPr>
              <w:t>3</w:t>
            </w:r>
            <w:r>
              <w:rPr>
                <w:rFonts w:hint="eastAsia"/>
                <w:b w:val="0"/>
                <w:bCs w:val="0"/>
                <w:spacing w:val="10"/>
                <w:lang w:val="en-US" w:eastAsia="zh-CN"/>
              </w:rPr>
              <w:t>/h，收集效率65%，收集后粉尘引至1套布袋除尘器处理，处理效率95%，尾气引至1根15m高排气筒DA001排放。产排污情况见表4-1。</w:t>
            </w:r>
          </w:p>
          <w:p w14:paraId="65E50299">
            <w:pPr>
              <w:adjustRightInd w:val="0"/>
              <w:snapToGrid w:val="0"/>
              <w:spacing w:line="300" w:lineRule="auto"/>
              <w:ind w:firstLine="482"/>
              <w:rPr>
                <w:rFonts w:hint="default" w:eastAsia="宋体"/>
                <w:b/>
                <w:bCs/>
                <w:szCs w:val="32"/>
                <w:lang w:val="en-US" w:eastAsia="zh-CN"/>
              </w:rPr>
            </w:pPr>
            <w:r>
              <w:rPr>
                <w:rFonts w:hint="eastAsia"/>
                <w:b/>
                <w:bCs/>
                <w:spacing w:val="10"/>
                <w:lang w:val="en-US" w:eastAsia="zh-CN"/>
              </w:rPr>
              <w:t>（二）</w:t>
            </w:r>
            <w:r>
              <w:rPr>
                <w:rFonts w:hint="eastAsia"/>
                <w:b/>
                <w:bCs/>
                <w:szCs w:val="32"/>
                <w:lang w:val="en-US" w:eastAsia="zh-CN"/>
              </w:rPr>
              <w:t>有机废气</w:t>
            </w:r>
          </w:p>
          <w:p w14:paraId="4F397C33">
            <w:pPr>
              <w:adjustRightInd w:val="0"/>
              <w:snapToGrid w:val="0"/>
              <w:spacing w:line="300" w:lineRule="auto"/>
              <w:ind w:firstLine="520"/>
              <w:rPr>
                <w:rFonts w:hint="default" w:eastAsia="宋体"/>
                <w:spacing w:val="10"/>
                <w:lang w:val="en-US" w:eastAsia="zh-CN"/>
              </w:rPr>
            </w:pPr>
            <w:r>
              <w:rPr>
                <w:rFonts w:hint="eastAsia"/>
                <w:spacing w:val="10"/>
                <w:lang w:val="en-US" w:eastAsia="zh-CN"/>
              </w:rPr>
              <w:t>本项目工艺废气主要为有机助剂生产过程搅拌及分装工序产生的有机废气（以非甲烷总烃进行表征），参照《排放源统计调查产排污核算方法和系数手册》（公告2021 年第24号）中的 2661化学试剂和助剂制造行业系数手册中的学试剂和助剂制造行业系数表（续9）中的有机助剂混合的挥发性有机物的产污系数为 0.78 千克/吨-产品。本项目有机助剂产量为6400吨/年（其中柔软剂1500吨/年，除油剂400吨/年，纺织油剂4500吨/年），则非甲烷总烃产生量为4.992吨/年。</w:t>
            </w:r>
          </w:p>
          <w:p w14:paraId="67750A8D">
            <w:pPr>
              <w:adjustRightInd w:val="0"/>
              <w:snapToGrid w:val="0"/>
              <w:spacing w:line="300" w:lineRule="auto"/>
              <w:ind w:firstLine="482"/>
              <w:rPr>
                <w:rFonts w:hint="default"/>
                <w:b/>
                <w:bCs/>
                <w:spacing w:val="10"/>
                <w:lang w:val="en-US" w:eastAsia="zh-CN"/>
              </w:rPr>
            </w:pPr>
            <w:r>
              <w:rPr>
                <w:rFonts w:hint="eastAsia"/>
                <w:spacing w:val="10"/>
                <w:lang w:val="en-US" w:eastAsia="zh-CN"/>
              </w:rPr>
              <w:t>通过搅拌罐出气口直连废气处理设施进行收集，在各分装工位设置集气罩进一步收集残留有机废气。收集效率95%，收集后有机废气引至1套“二级活性炭吸附装置”处理，处理效率75%，尾气引至1根15m高排气筒DA002排放。</w:t>
            </w:r>
            <w:r>
              <w:rPr>
                <w:rFonts w:hint="eastAsia"/>
                <w:b w:val="0"/>
                <w:bCs w:val="0"/>
                <w:spacing w:val="10"/>
                <w:lang w:val="en-US" w:eastAsia="zh-CN"/>
              </w:rPr>
              <w:t>产排污情况见表4-1。</w:t>
            </w:r>
          </w:p>
          <w:p w14:paraId="06E45D47">
            <w:pPr>
              <w:widowControl w:val="0"/>
              <w:numPr>
                <w:ilvl w:val="0"/>
                <w:numId w:val="0"/>
              </w:numPr>
              <w:spacing w:line="240" w:lineRule="auto"/>
              <w:jc w:val="center"/>
              <w:rPr>
                <w:rFonts w:hint="eastAsia"/>
                <w:b/>
                <w:bCs/>
                <w:vertAlign w:val="baseline"/>
                <w:lang w:val="en-US" w:eastAsia="zh-CN"/>
              </w:rPr>
            </w:pPr>
          </w:p>
          <w:p w14:paraId="638AF645">
            <w:pPr>
              <w:widowControl w:val="0"/>
              <w:numPr>
                <w:ilvl w:val="0"/>
                <w:numId w:val="0"/>
              </w:numPr>
              <w:spacing w:line="240" w:lineRule="auto"/>
              <w:jc w:val="center"/>
              <w:rPr>
                <w:rFonts w:hint="eastAsia"/>
                <w:b/>
                <w:bCs/>
                <w:vertAlign w:val="baseline"/>
                <w:lang w:val="en-US" w:eastAsia="zh-CN"/>
              </w:rPr>
            </w:pPr>
          </w:p>
          <w:p w14:paraId="02F67FE8">
            <w:pPr>
              <w:widowControl w:val="0"/>
              <w:numPr>
                <w:ilvl w:val="0"/>
                <w:numId w:val="0"/>
              </w:numPr>
              <w:spacing w:line="240" w:lineRule="auto"/>
              <w:jc w:val="center"/>
              <w:rPr>
                <w:rFonts w:hint="eastAsia"/>
                <w:b/>
                <w:bCs/>
                <w:vertAlign w:val="baseline"/>
                <w:lang w:val="en-US" w:eastAsia="zh-CN"/>
              </w:rPr>
            </w:pPr>
          </w:p>
          <w:p w14:paraId="665B1259">
            <w:pPr>
              <w:widowControl w:val="0"/>
              <w:numPr>
                <w:ilvl w:val="0"/>
                <w:numId w:val="0"/>
              </w:numPr>
              <w:spacing w:line="240" w:lineRule="auto"/>
              <w:jc w:val="center"/>
              <w:rPr>
                <w:rFonts w:hint="eastAsia"/>
                <w:b/>
                <w:bCs/>
                <w:vertAlign w:val="baseline"/>
                <w:lang w:val="en-US" w:eastAsia="zh-CN"/>
              </w:rPr>
            </w:pPr>
          </w:p>
          <w:p w14:paraId="673FEAF3">
            <w:pPr>
              <w:widowControl w:val="0"/>
              <w:numPr>
                <w:ilvl w:val="0"/>
                <w:numId w:val="0"/>
              </w:numPr>
              <w:spacing w:line="240" w:lineRule="auto"/>
              <w:jc w:val="center"/>
              <w:rPr>
                <w:rFonts w:hint="eastAsia"/>
                <w:b/>
                <w:bCs/>
                <w:vertAlign w:val="baseline"/>
                <w:lang w:val="en-US" w:eastAsia="zh-CN"/>
              </w:rPr>
            </w:pPr>
          </w:p>
          <w:p w14:paraId="5922FAB6">
            <w:pPr>
              <w:widowControl w:val="0"/>
              <w:numPr>
                <w:ilvl w:val="0"/>
                <w:numId w:val="0"/>
              </w:numPr>
              <w:spacing w:line="240" w:lineRule="auto"/>
              <w:jc w:val="center"/>
              <w:rPr>
                <w:rFonts w:hint="default"/>
                <w:b/>
                <w:bCs/>
                <w:vertAlign w:val="baseline"/>
                <w:lang w:val="en-US" w:eastAsia="zh-CN"/>
              </w:rPr>
            </w:pPr>
            <w:r>
              <w:rPr>
                <w:rFonts w:hint="eastAsia"/>
                <w:b/>
                <w:bCs/>
                <w:vertAlign w:val="baseline"/>
                <w:lang w:val="en-US" w:eastAsia="zh-CN"/>
              </w:rPr>
              <w:t>表4-1. 废气污染源源强核算结果及相关参数一览表</w:t>
            </w:r>
          </w:p>
          <w:tbl>
            <w:tblPr>
              <w:tblStyle w:val="31"/>
              <w:tblW w:w="8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
              <w:gridCol w:w="417"/>
              <w:gridCol w:w="433"/>
              <w:gridCol w:w="767"/>
              <w:gridCol w:w="800"/>
              <w:gridCol w:w="716"/>
              <w:gridCol w:w="750"/>
              <w:gridCol w:w="464"/>
              <w:gridCol w:w="570"/>
              <w:gridCol w:w="739"/>
              <w:gridCol w:w="637"/>
              <w:gridCol w:w="722"/>
              <w:gridCol w:w="724"/>
              <w:gridCol w:w="332"/>
            </w:tblGrid>
            <w:tr w14:paraId="7F7C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4FCB">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污染源</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B275">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污染物</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0C6E">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收集效率</w:t>
                  </w:r>
                  <w:r>
                    <w:rPr>
                      <w:rFonts w:hint="default"/>
                      <w:bCs/>
                      <w:sz w:val="21"/>
                      <w:szCs w:val="21"/>
                      <w:lang w:val="en-US" w:eastAsia="zh-CN"/>
                    </w:rPr>
                    <w:t>%</w:t>
                  </w:r>
                </w:p>
              </w:tc>
              <w:tc>
                <w:tcPr>
                  <w:tcW w:w="3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EF8D">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污染物产生</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0E6C">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治理措施</w:t>
                  </w:r>
                </w:p>
              </w:tc>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697C">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污染物排放</w:t>
                  </w: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0429">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排放时间</w:t>
                  </w:r>
                </w:p>
              </w:tc>
            </w:tr>
            <w:tr w14:paraId="737D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E295">
                  <w:pPr>
                    <w:adjustRightInd w:val="0"/>
                    <w:snapToGrid w:val="0"/>
                    <w:spacing w:line="240" w:lineRule="auto"/>
                    <w:ind w:firstLine="0" w:firstLineChars="0"/>
                    <w:jc w:val="center"/>
                    <w:rPr>
                      <w:rFonts w:hint="eastAsia"/>
                      <w:bCs/>
                      <w:sz w:val="21"/>
                      <w:szCs w:val="21"/>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0FE2">
                  <w:pPr>
                    <w:adjustRightInd w:val="0"/>
                    <w:snapToGrid w:val="0"/>
                    <w:spacing w:line="240" w:lineRule="auto"/>
                    <w:ind w:firstLine="0" w:firstLineChars="0"/>
                    <w:jc w:val="center"/>
                    <w:rPr>
                      <w:rFonts w:hint="eastAsia"/>
                      <w:bCs/>
                      <w:sz w:val="21"/>
                      <w:szCs w:val="21"/>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5C73">
                  <w:pPr>
                    <w:adjustRightInd w:val="0"/>
                    <w:snapToGrid w:val="0"/>
                    <w:spacing w:line="240" w:lineRule="auto"/>
                    <w:ind w:firstLine="0" w:firstLineChars="0"/>
                    <w:jc w:val="center"/>
                    <w:rPr>
                      <w:rFonts w:hint="eastAsia"/>
                      <w:bCs/>
                      <w:sz w:val="21"/>
                      <w:szCs w:val="21"/>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4318">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废气产生量</w:t>
                  </w:r>
                  <w:r>
                    <w:rPr>
                      <w:rFonts w:hint="default"/>
                      <w:bCs/>
                      <w:sz w:val="21"/>
                      <w:szCs w:val="21"/>
                      <w:lang w:val="en-US" w:eastAsia="zh-CN"/>
                    </w:rPr>
                    <w:t>m</w:t>
                  </w:r>
                  <w:r>
                    <w:rPr>
                      <w:rFonts w:hint="default"/>
                      <w:bCs/>
                      <w:sz w:val="21"/>
                      <w:szCs w:val="21"/>
                      <w:vertAlign w:val="superscript"/>
                      <w:lang w:val="en-US" w:eastAsia="zh-CN"/>
                    </w:rPr>
                    <w:t>3</w:t>
                  </w:r>
                  <w:r>
                    <w:rPr>
                      <w:rFonts w:hint="default"/>
                      <w:bCs/>
                      <w:sz w:val="21"/>
                      <w:szCs w:val="21"/>
                      <w:lang w:val="en-US" w:eastAsia="zh-CN"/>
                    </w:rPr>
                    <w:t>/h</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DE1A">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产生浓度</w:t>
                  </w:r>
                  <w:r>
                    <w:rPr>
                      <w:rFonts w:hint="default"/>
                      <w:bCs/>
                      <w:sz w:val="21"/>
                      <w:szCs w:val="21"/>
                      <w:lang w:val="en-US" w:eastAsia="zh-CN"/>
                    </w:rPr>
                    <w:t>mg/m</w:t>
                  </w:r>
                  <w:r>
                    <w:rPr>
                      <w:rFonts w:hint="default"/>
                      <w:bCs/>
                      <w:sz w:val="21"/>
                      <w:szCs w:val="21"/>
                      <w:vertAlign w:val="superscript"/>
                      <w:lang w:val="en-US" w:eastAsia="zh-CN"/>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7B35">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产生速率</w:t>
                  </w:r>
                  <w:r>
                    <w:rPr>
                      <w:rFonts w:hint="default"/>
                      <w:bCs/>
                      <w:sz w:val="21"/>
                      <w:szCs w:val="21"/>
                      <w:lang w:val="en-US" w:eastAsia="zh-CN"/>
                    </w:rPr>
                    <w:t>kg.h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FF0C">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产生量</w:t>
                  </w:r>
                  <w:r>
                    <w:rPr>
                      <w:rFonts w:hint="default"/>
                      <w:bCs/>
                      <w:sz w:val="21"/>
                      <w:szCs w:val="21"/>
                      <w:lang w:val="en-US" w:eastAsia="zh-CN"/>
                    </w:rPr>
                    <w:t>t/a</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DA70">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工艺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C94B">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处理效率</w:t>
                  </w:r>
                  <w:r>
                    <w:rPr>
                      <w:rFonts w:hint="default"/>
                      <w:bCs/>
                      <w:sz w:val="21"/>
                      <w:szCs w:val="21"/>
                      <w:lang w:val="en-US" w:eastAsia="zh-CN"/>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4044">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废气排放量</w:t>
                  </w:r>
                  <w:r>
                    <w:rPr>
                      <w:rFonts w:hint="default"/>
                      <w:bCs/>
                      <w:sz w:val="21"/>
                      <w:szCs w:val="21"/>
                      <w:lang w:val="en-US" w:eastAsia="zh-CN"/>
                    </w:rPr>
                    <w:t>m</w:t>
                  </w:r>
                  <w:r>
                    <w:rPr>
                      <w:rFonts w:hint="default"/>
                      <w:bCs/>
                      <w:sz w:val="21"/>
                      <w:szCs w:val="21"/>
                      <w:vertAlign w:val="superscript"/>
                      <w:lang w:val="en-US" w:eastAsia="zh-CN"/>
                    </w:rPr>
                    <w:t>3</w:t>
                  </w:r>
                  <w:r>
                    <w:rPr>
                      <w:rFonts w:hint="default"/>
                      <w:bCs/>
                      <w:sz w:val="21"/>
                      <w:szCs w:val="21"/>
                      <w:lang w:val="en-US" w:eastAsia="zh-CN"/>
                    </w:rPr>
                    <w:t>/h</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5A68">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排放浓度</w:t>
                  </w:r>
                  <w:r>
                    <w:rPr>
                      <w:rFonts w:hint="default"/>
                      <w:bCs/>
                      <w:sz w:val="21"/>
                      <w:szCs w:val="21"/>
                      <w:lang w:val="en-US" w:eastAsia="zh-CN"/>
                    </w:rPr>
                    <w:t>mg/m</w:t>
                  </w:r>
                  <w:r>
                    <w:rPr>
                      <w:rFonts w:hint="default"/>
                      <w:bCs/>
                      <w:sz w:val="21"/>
                      <w:szCs w:val="21"/>
                      <w:vertAlign w:val="superscript"/>
                      <w:lang w:val="en-US" w:eastAsia="zh-CN"/>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88B3">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排放速率</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FF13">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排放量t/a</w:t>
                  </w: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7D36">
                  <w:pPr>
                    <w:adjustRightInd w:val="0"/>
                    <w:snapToGrid w:val="0"/>
                    <w:spacing w:line="240" w:lineRule="auto"/>
                    <w:ind w:firstLine="0" w:firstLineChars="0"/>
                    <w:jc w:val="center"/>
                    <w:rPr>
                      <w:rFonts w:hint="eastAsia"/>
                      <w:bCs/>
                      <w:sz w:val="21"/>
                      <w:szCs w:val="21"/>
                    </w:rPr>
                  </w:pPr>
                </w:p>
              </w:tc>
            </w:tr>
            <w:tr w14:paraId="5069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jc w:val="center"/>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1501">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DA001</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D5F2">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颗粒物</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6F00">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65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B00D">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2000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1F06">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5.7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46BD">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0.011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FFBD">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0.023</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0DF6">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布袋除尘器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7288">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95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4D52">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2000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4B1A">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0.3</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71D4">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0.001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7C78">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0.001</w:t>
                  </w: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1CBE">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2000</w:t>
                  </w:r>
                </w:p>
              </w:tc>
            </w:tr>
            <w:tr w14:paraId="2A8C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FD01">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无组织</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4B5A">
                  <w:pPr>
                    <w:adjustRightInd w:val="0"/>
                    <w:snapToGrid w:val="0"/>
                    <w:spacing w:line="240" w:lineRule="auto"/>
                    <w:ind w:firstLine="0" w:firstLineChars="0"/>
                    <w:jc w:val="center"/>
                    <w:rPr>
                      <w:rFonts w:hint="eastAsia"/>
                      <w:bCs/>
                      <w:sz w:val="21"/>
                      <w:szCs w:val="21"/>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BC27">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DF46">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C578">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5BEA">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0.004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2AD2">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0.008</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2069">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4FDD">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5471">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279F">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29B1">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0.004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FCD8">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0.008</w:t>
                  </w: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44C5">
                  <w:pPr>
                    <w:adjustRightInd w:val="0"/>
                    <w:snapToGrid w:val="0"/>
                    <w:spacing w:line="240" w:lineRule="auto"/>
                    <w:ind w:firstLine="0" w:firstLineChars="0"/>
                    <w:jc w:val="center"/>
                    <w:rPr>
                      <w:rFonts w:hint="default"/>
                      <w:bCs/>
                      <w:sz w:val="21"/>
                      <w:szCs w:val="21"/>
                    </w:rPr>
                  </w:pPr>
                </w:p>
              </w:tc>
            </w:tr>
            <w:tr w14:paraId="6556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jc w:val="center"/>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03CF">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DA002</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6B2">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非甲烷总烃</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8D5B">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95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2BED">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20000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BB82">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118.6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8E83">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2.371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DD41">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4.742</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5B59">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二级活性炭吸附</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316A">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75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362F">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20000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68E5">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29.6</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780C">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0.593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EB75">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1.186</w:t>
                  </w: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3249">
                  <w:pPr>
                    <w:adjustRightInd w:val="0"/>
                    <w:snapToGrid w:val="0"/>
                    <w:spacing w:line="240" w:lineRule="auto"/>
                    <w:ind w:firstLine="0" w:firstLineChars="0"/>
                    <w:jc w:val="center"/>
                    <w:rPr>
                      <w:rFonts w:hint="default"/>
                      <w:bCs/>
                      <w:sz w:val="21"/>
                      <w:szCs w:val="21"/>
                    </w:rPr>
                  </w:pPr>
                </w:p>
              </w:tc>
            </w:tr>
            <w:tr w14:paraId="5A5E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6D42">
                  <w:pPr>
                    <w:adjustRightInd w:val="0"/>
                    <w:snapToGrid w:val="0"/>
                    <w:spacing w:line="240" w:lineRule="auto"/>
                    <w:ind w:firstLine="0" w:firstLineChars="0"/>
                    <w:jc w:val="center"/>
                    <w:rPr>
                      <w:rFonts w:hint="eastAsia"/>
                      <w:bCs/>
                      <w:sz w:val="21"/>
                      <w:szCs w:val="21"/>
                    </w:rPr>
                  </w:pPr>
                  <w:r>
                    <w:rPr>
                      <w:rFonts w:hint="eastAsia"/>
                      <w:bCs/>
                      <w:sz w:val="21"/>
                      <w:szCs w:val="21"/>
                      <w:lang w:val="en-US" w:eastAsia="zh-CN"/>
                    </w:rPr>
                    <w:t>无组织</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3E89">
                  <w:pPr>
                    <w:adjustRightInd w:val="0"/>
                    <w:snapToGrid w:val="0"/>
                    <w:spacing w:line="240" w:lineRule="auto"/>
                    <w:ind w:firstLine="0" w:firstLineChars="0"/>
                    <w:jc w:val="center"/>
                    <w:rPr>
                      <w:rFonts w:hint="eastAsia"/>
                      <w:bCs/>
                      <w:sz w:val="21"/>
                      <w:szCs w:val="21"/>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248E">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BD34">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A3DE">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644F">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0.125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3330">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0.25</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ADC9">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85D9">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6859">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A9E3">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E97A">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0.125</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A16C">
                  <w:pPr>
                    <w:adjustRightInd w:val="0"/>
                    <w:snapToGrid w:val="0"/>
                    <w:spacing w:line="240" w:lineRule="auto"/>
                    <w:ind w:firstLine="0" w:firstLineChars="0"/>
                    <w:jc w:val="center"/>
                    <w:rPr>
                      <w:rFonts w:hint="default"/>
                      <w:bCs/>
                      <w:sz w:val="21"/>
                      <w:szCs w:val="21"/>
                    </w:rPr>
                  </w:pPr>
                  <w:r>
                    <w:rPr>
                      <w:rFonts w:hint="default"/>
                      <w:bCs/>
                      <w:sz w:val="21"/>
                      <w:szCs w:val="21"/>
                      <w:lang w:val="en-US" w:eastAsia="zh-CN"/>
                    </w:rPr>
                    <w:t>0.250</w:t>
                  </w: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F476">
                  <w:pPr>
                    <w:adjustRightInd w:val="0"/>
                    <w:snapToGrid w:val="0"/>
                    <w:spacing w:line="240" w:lineRule="auto"/>
                    <w:ind w:firstLine="0" w:firstLineChars="0"/>
                    <w:jc w:val="center"/>
                    <w:rPr>
                      <w:rFonts w:hint="default"/>
                      <w:bCs/>
                      <w:sz w:val="21"/>
                      <w:szCs w:val="21"/>
                    </w:rPr>
                  </w:pPr>
                </w:p>
              </w:tc>
            </w:tr>
          </w:tbl>
          <w:p w14:paraId="150A4849">
            <w:pPr>
              <w:spacing w:line="240" w:lineRule="auto"/>
              <w:ind w:firstLine="0" w:firstLineChars="0"/>
              <w:jc w:val="both"/>
              <w:rPr>
                <w:b/>
                <w:bCs/>
                <w:szCs w:val="21"/>
              </w:rPr>
            </w:pPr>
          </w:p>
          <w:p w14:paraId="761B603E">
            <w:pPr>
              <w:spacing w:line="240" w:lineRule="auto"/>
              <w:ind w:firstLine="0" w:firstLineChars="0"/>
              <w:jc w:val="center"/>
              <w:rPr>
                <w:b/>
                <w:bCs/>
                <w:szCs w:val="21"/>
              </w:rPr>
            </w:pPr>
            <w:r>
              <w:rPr>
                <w:b/>
                <w:bCs/>
                <w:szCs w:val="21"/>
              </w:rPr>
              <w:t>表4</w:t>
            </w:r>
            <w:r>
              <w:rPr>
                <w:rFonts w:hint="eastAsia"/>
                <w:b/>
                <w:bCs/>
                <w:szCs w:val="21"/>
                <w:lang w:val="en-US" w:eastAsia="zh-CN"/>
              </w:rPr>
              <w:t>-2</w:t>
            </w:r>
            <w:r>
              <w:rPr>
                <w:b/>
                <w:bCs/>
                <w:szCs w:val="21"/>
              </w:rPr>
              <w:t xml:space="preserve"> 大气污染物有组织排放量核算表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5"/>
              <w:gridCol w:w="1403"/>
              <w:gridCol w:w="1403"/>
              <w:gridCol w:w="1403"/>
              <w:gridCol w:w="1403"/>
            </w:tblGrid>
            <w:tr w14:paraId="3941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33" w:type="pct"/>
                  <w:vAlign w:val="center"/>
                </w:tcPr>
                <w:p w14:paraId="2D1D2A98">
                  <w:pPr>
                    <w:adjustRightInd w:val="0"/>
                    <w:snapToGrid w:val="0"/>
                    <w:spacing w:line="240" w:lineRule="auto"/>
                    <w:ind w:firstLine="0" w:firstLineChars="0"/>
                    <w:jc w:val="center"/>
                    <w:rPr>
                      <w:bCs/>
                      <w:sz w:val="21"/>
                      <w:szCs w:val="21"/>
                    </w:rPr>
                  </w:pPr>
                  <w:r>
                    <w:rPr>
                      <w:bCs/>
                      <w:sz w:val="21"/>
                      <w:szCs w:val="21"/>
                    </w:rPr>
                    <w:t>序号</w:t>
                  </w:r>
                </w:p>
              </w:tc>
              <w:tc>
                <w:tcPr>
                  <w:tcW w:w="833" w:type="pct"/>
                  <w:vAlign w:val="center"/>
                </w:tcPr>
                <w:p w14:paraId="68886BE2">
                  <w:pPr>
                    <w:adjustRightInd w:val="0"/>
                    <w:snapToGrid w:val="0"/>
                    <w:spacing w:line="240" w:lineRule="auto"/>
                    <w:ind w:firstLine="0" w:firstLineChars="0"/>
                    <w:jc w:val="center"/>
                    <w:rPr>
                      <w:bCs/>
                      <w:sz w:val="21"/>
                      <w:szCs w:val="21"/>
                    </w:rPr>
                  </w:pPr>
                  <w:r>
                    <w:rPr>
                      <w:bCs/>
                      <w:sz w:val="21"/>
                      <w:szCs w:val="21"/>
                    </w:rPr>
                    <w:t>排放量编号</w:t>
                  </w:r>
                </w:p>
              </w:tc>
              <w:tc>
                <w:tcPr>
                  <w:tcW w:w="833" w:type="pct"/>
                  <w:vAlign w:val="center"/>
                </w:tcPr>
                <w:p w14:paraId="413C1AD5">
                  <w:pPr>
                    <w:adjustRightInd w:val="0"/>
                    <w:snapToGrid w:val="0"/>
                    <w:spacing w:line="240" w:lineRule="auto"/>
                    <w:ind w:firstLine="0" w:firstLineChars="0"/>
                    <w:jc w:val="center"/>
                    <w:rPr>
                      <w:bCs/>
                      <w:sz w:val="21"/>
                      <w:szCs w:val="21"/>
                    </w:rPr>
                  </w:pPr>
                  <w:r>
                    <w:rPr>
                      <w:bCs/>
                      <w:sz w:val="21"/>
                      <w:szCs w:val="21"/>
                    </w:rPr>
                    <w:t>污染物</w:t>
                  </w:r>
                </w:p>
              </w:tc>
              <w:tc>
                <w:tcPr>
                  <w:tcW w:w="833" w:type="pct"/>
                  <w:vAlign w:val="center"/>
                </w:tcPr>
                <w:p w14:paraId="391DBD71">
                  <w:pPr>
                    <w:adjustRightInd w:val="0"/>
                    <w:snapToGrid w:val="0"/>
                    <w:spacing w:line="240" w:lineRule="auto"/>
                    <w:ind w:firstLine="0" w:firstLineChars="0"/>
                    <w:jc w:val="center"/>
                    <w:rPr>
                      <w:bCs/>
                      <w:sz w:val="21"/>
                      <w:szCs w:val="21"/>
                    </w:rPr>
                  </w:pPr>
                  <w:r>
                    <w:rPr>
                      <w:bCs/>
                      <w:sz w:val="21"/>
                      <w:szCs w:val="21"/>
                    </w:rPr>
                    <w:t>排放浓度mg/m³</w:t>
                  </w:r>
                </w:p>
              </w:tc>
              <w:tc>
                <w:tcPr>
                  <w:tcW w:w="833" w:type="pct"/>
                  <w:vAlign w:val="center"/>
                </w:tcPr>
                <w:p w14:paraId="4CE301B7">
                  <w:pPr>
                    <w:adjustRightInd w:val="0"/>
                    <w:snapToGrid w:val="0"/>
                    <w:spacing w:line="240" w:lineRule="auto"/>
                    <w:ind w:firstLine="0" w:firstLineChars="0"/>
                    <w:jc w:val="center"/>
                    <w:rPr>
                      <w:bCs/>
                      <w:sz w:val="21"/>
                      <w:szCs w:val="21"/>
                    </w:rPr>
                  </w:pPr>
                  <w:r>
                    <w:rPr>
                      <w:bCs/>
                      <w:sz w:val="21"/>
                      <w:szCs w:val="21"/>
                    </w:rPr>
                    <w:t>排放速率</w:t>
                  </w:r>
                </w:p>
              </w:tc>
              <w:tc>
                <w:tcPr>
                  <w:tcW w:w="833" w:type="pct"/>
                  <w:vAlign w:val="center"/>
                </w:tcPr>
                <w:p w14:paraId="5FDE91E9">
                  <w:pPr>
                    <w:adjustRightInd w:val="0"/>
                    <w:snapToGrid w:val="0"/>
                    <w:spacing w:line="240" w:lineRule="auto"/>
                    <w:ind w:firstLine="0" w:firstLineChars="0"/>
                    <w:jc w:val="center"/>
                    <w:rPr>
                      <w:bCs/>
                      <w:sz w:val="21"/>
                      <w:szCs w:val="21"/>
                    </w:rPr>
                  </w:pPr>
                  <w:r>
                    <w:rPr>
                      <w:bCs/>
                      <w:sz w:val="21"/>
                      <w:szCs w:val="21"/>
                    </w:rPr>
                    <w:t>排放量</w:t>
                  </w:r>
                  <w:r>
                    <w:rPr>
                      <w:rFonts w:hint="eastAsia"/>
                      <w:bCs/>
                      <w:sz w:val="21"/>
                      <w:szCs w:val="21"/>
                      <w:lang w:val="en-US" w:eastAsia="zh-CN"/>
                    </w:rPr>
                    <w:t>t</w:t>
                  </w:r>
                  <w:r>
                    <w:rPr>
                      <w:bCs/>
                      <w:sz w:val="21"/>
                      <w:szCs w:val="21"/>
                    </w:rPr>
                    <w:t>/a</w:t>
                  </w:r>
                </w:p>
              </w:tc>
            </w:tr>
            <w:tr w14:paraId="2883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091B4FA6">
                  <w:pPr>
                    <w:adjustRightInd w:val="0"/>
                    <w:snapToGrid w:val="0"/>
                    <w:spacing w:line="240" w:lineRule="auto"/>
                    <w:ind w:firstLine="0" w:firstLineChars="0"/>
                    <w:jc w:val="center"/>
                    <w:rPr>
                      <w:bCs/>
                      <w:sz w:val="21"/>
                      <w:szCs w:val="21"/>
                    </w:rPr>
                  </w:pPr>
                  <w:r>
                    <w:rPr>
                      <w:bCs/>
                      <w:sz w:val="21"/>
                      <w:szCs w:val="21"/>
                    </w:rPr>
                    <w:t>1</w:t>
                  </w:r>
                </w:p>
              </w:tc>
              <w:tc>
                <w:tcPr>
                  <w:tcW w:w="833" w:type="pct"/>
                  <w:vAlign w:val="center"/>
                </w:tcPr>
                <w:p w14:paraId="56476D71">
                  <w:pPr>
                    <w:adjustRightInd w:val="0"/>
                    <w:snapToGrid w:val="0"/>
                    <w:spacing w:line="240" w:lineRule="auto"/>
                    <w:ind w:firstLine="0" w:firstLineChars="0"/>
                    <w:jc w:val="center"/>
                    <w:rPr>
                      <w:bCs/>
                      <w:sz w:val="21"/>
                      <w:szCs w:val="21"/>
                    </w:rPr>
                  </w:pPr>
                  <w:r>
                    <w:rPr>
                      <w:bCs/>
                      <w:sz w:val="21"/>
                      <w:szCs w:val="21"/>
                    </w:rPr>
                    <w:t>DA001</w:t>
                  </w:r>
                </w:p>
              </w:tc>
              <w:tc>
                <w:tcPr>
                  <w:tcW w:w="833" w:type="pct"/>
                  <w:vAlign w:val="center"/>
                </w:tcPr>
                <w:p w14:paraId="63203C52">
                  <w:pPr>
                    <w:adjustRightInd w:val="0"/>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颗粒物</w:t>
                  </w:r>
                </w:p>
              </w:tc>
              <w:tc>
                <w:tcPr>
                  <w:tcW w:w="833" w:type="pct"/>
                  <w:vAlign w:val="center"/>
                </w:tcPr>
                <w:p w14:paraId="50B04D01">
                  <w:pPr>
                    <w:adjustRightInd w:val="0"/>
                    <w:snapToGrid w:val="0"/>
                    <w:spacing w:line="240" w:lineRule="auto"/>
                    <w:ind w:firstLine="0" w:firstLineChars="0"/>
                    <w:jc w:val="center"/>
                    <w:rPr>
                      <w:bCs/>
                      <w:sz w:val="21"/>
                      <w:szCs w:val="21"/>
                    </w:rPr>
                  </w:pPr>
                  <w:r>
                    <w:rPr>
                      <w:rFonts w:hint="eastAsia"/>
                      <w:bCs/>
                      <w:sz w:val="21"/>
                      <w:szCs w:val="21"/>
                      <w:lang w:val="en-US" w:eastAsia="zh-CN"/>
                    </w:rPr>
                    <w:t>0.3</w:t>
                  </w:r>
                </w:p>
              </w:tc>
              <w:tc>
                <w:tcPr>
                  <w:tcW w:w="833" w:type="pct"/>
                  <w:vAlign w:val="center"/>
                </w:tcPr>
                <w:p w14:paraId="2899B18C">
                  <w:pPr>
                    <w:adjustRightInd w:val="0"/>
                    <w:snapToGrid w:val="0"/>
                    <w:spacing w:line="240" w:lineRule="auto"/>
                    <w:ind w:firstLine="0" w:firstLineChars="0"/>
                    <w:jc w:val="center"/>
                    <w:rPr>
                      <w:bCs/>
                      <w:sz w:val="21"/>
                      <w:szCs w:val="21"/>
                    </w:rPr>
                  </w:pPr>
                  <w:r>
                    <w:rPr>
                      <w:rFonts w:hint="eastAsia"/>
                      <w:bCs/>
                      <w:sz w:val="21"/>
                      <w:szCs w:val="21"/>
                      <w:lang w:val="en-US" w:eastAsia="zh-CN"/>
                    </w:rPr>
                    <w:t>0.001</w:t>
                  </w:r>
                </w:p>
              </w:tc>
              <w:tc>
                <w:tcPr>
                  <w:tcW w:w="833" w:type="pct"/>
                  <w:vAlign w:val="center"/>
                </w:tcPr>
                <w:p w14:paraId="6C76E3A3">
                  <w:pPr>
                    <w:adjustRightInd w:val="0"/>
                    <w:snapToGrid w:val="0"/>
                    <w:spacing w:line="240" w:lineRule="auto"/>
                    <w:ind w:firstLine="0" w:firstLineChars="0"/>
                    <w:jc w:val="center"/>
                    <w:rPr>
                      <w:bCs/>
                      <w:sz w:val="21"/>
                      <w:szCs w:val="21"/>
                    </w:rPr>
                  </w:pPr>
                  <w:r>
                    <w:rPr>
                      <w:rFonts w:hint="eastAsia"/>
                      <w:bCs/>
                      <w:sz w:val="21"/>
                      <w:szCs w:val="21"/>
                      <w:lang w:val="en-US" w:eastAsia="zh-CN"/>
                    </w:rPr>
                    <w:t>0.001</w:t>
                  </w:r>
                </w:p>
              </w:tc>
            </w:tr>
            <w:tr w14:paraId="2B26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447102A4">
                  <w:pPr>
                    <w:adjustRightInd w:val="0"/>
                    <w:snapToGrid w:val="0"/>
                    <w:spacing w:line="240" w:lineRule="auto"/>
                    <w:ind w:firstLine="0" w:firstLineChars="0"/>
                    <w:jc w:val="center"/>
                    <w:rPr>
                      <w:bCs/>
                      <w:sz w:val="21"/>
                      <w:szCs w:val="21"/>
                    </w:rPr>
                  </w:pPr>
                </w:p>
              </w:tc>
              <w:tc>
                <w:tcPr>
                  <w:tcW w:w="833" w:type="pct"/>
                  <w:vAlign w:val="center"/>
                </w:tcPr>
                <w:p w14:paraId="03EC352B">
                  <w:pPr>
                    <w:adjustRightInd w:val="0"/>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DA002</w:t>
                  </w:r>
                </w:p>
              </w:tc>
              <w:tc>
                <w:tcPr>
                  <w:tcW w:w="833" w:type="pct"/>
                  <w:vAlign w:val="center"/>
                </w:tcPr>
                <w:p w14:paraId="510F8A79">
                  <w:pPr>
                    <w:adjustRightInd w:val="0"/>
                    <w:snapToGrid w:val="0"/>
                    <w:spacing w:line="240" w:lineRule="auto"/>
                    <w:ind w:firstLine="0" w:firstLineChars="0"/>
                    <w:jc w:val="center"/>
                    <w:rPr>
                      <w:rFonts w:hint="eastAsia" w:eastAsia="宋体"/>
                      <w:bCs/>
                      <w:sz w:val="21"/>
                      <w:szCs w:val="21"/>
                      <w:lang w:val="en-US" w:eastAsia="zh-CN"/>
                    </w:rPr>
                  </w:pPr>
                  <w:r>
                    <w:rPr>
                      <w:rFonts w:hint="eastAsia"/>
                      <w:bCs/>
                      <w:sz w:val="21"/>
                      <w:szCs w:val="21"/>
                      <w:lang w:val="en-US" w:eastAsia="zh-CN"/>
                    </w:rPr>
                    <w:t>非甲烷总烃</w:t>
                  </w:r>
                </w:p>
              </w:tc>
              <w:tc>
                <w:tcPr>
                  <w:tcW w:w="833" w:type="pct"/>
                  <w:vAlign w:val="center"/>
                </w:tcPr>
                <w:p w14:paraId="3CE2B3B8">
                  <w:pPr>
                    <w:adjustRightInd w:val="0"/>
                    <w:snapToGrid w:val="0"/>
                    <w:spacing w:line="240" w:lineRule="auto"/>
                    <w:ind w:firstLine="0" w:firstLineChars="0"/>
                    <w:jc w:val="center"/>
                    <w:rPr>
                      <w:bCs/>
                      <w:sz w:val="21"/>
                      <w:szCs w:val="21"/>
                    </w:rPr>
                  </w:pPr>
                  <w:r>
                    <w:rPr>
                      <w:rFonts w:hint="eastAsia"/>
                      <w:bCs/>
                      <w:sz w:val="21"/>
                      <w:szCs w:val="21"/>
                      <w:lang w:val="en-US" w:eastAsia="zh-CN"/>
                    </w:rPr>
                    <w:t>29.6</w:t>
                  </w:r>
                </w:p>
              </w:tc>
              <w:tc>
                <w:tcPr>
                  <w:tcW w:w="833" w:type="pct"/>
                  <w:vAlign w:val="center"/>
                </w:tcPr>
                <w:p w14:paraId="43389374">
                  <w:pPr>
                    <w:adjustRightInd w:val="0"/>
                    <w:snapToGrid w:val="0"/>
                    <w:spacing w:line="240" w:lineRule="auto"/>
                    <w:ind w:firstLine="0" w:firstLineChars="0"/>
                    <w:jc w:val="center"/>
                    <w:rPr>
                      <w:rFonts w:hint="eastAsia" w:eastAsia="宋体"/>
                      <w:bCs/>
                      <w:sz w:val="21"/>
                      <w:szCs w:val="21"/>
                      <w:lang w:val="en-US" w:eastAsia="zh-CN"/>
                    </w:rPr>
                  </w:pPr>
                  <w:r>
                    <w:rPr>
                      <w:rFonts w:hint="eastAsia"/>
                      <w:bCs/>
                      <w:sz w:val="21"/>
                      <w:szCs w:val="21"/>
                      <w:lang w:val="en-US" w:eastAsia="zh-CN"/>
                    </w:rPr>
                    <w:t>0.593</w:t>
                  </w:r>
                </w:p>
              </w:tc>
              <w:tc>
                <w:tcPr>
                  <w:tcW w:w="833" w:type="pct"/>
                  <w:vAlign w:val="center"/>
                </w:tcPr>
                <w:p w14:paraId="1BCED862">
                  <w:pPr>
                    <w:adjustRightInd w:val="0"/>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1.186</w:t>
                  </w:r>
                </w:p>
              </w:tc>
            </w:tr>
            <w:tr w14:paraId="2C4D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gridSpan w:val="2"/>
                  <w:vMerge w:val="restart"/>
                  <w:vAlign w:val="center"/>
                </w:tcPr>
                <w:p w14:paraId="0C610536">
                  <w:pPr>
                    <w:adjustRightInd w:val="0"/>
                    <w:snapToGrid w:val="0"/>
                    <w:spacing w:line="240" w:lineRule="auto"/>
                    <w:ind w:firstLine="0" w:firstLineChars="0"/>
                    <w:jc w:val="center"/>
                    <w:rPr>
                      <w:bCs/>
                      <w:sz w:val="21"/>
                      <w:szCs w:val="21"/>
                    </w:rPr>
                  </w:pPr>
                  <w:r>
                    <w:rPr>
                      <w:bCs/>
                      <w:sz w:val="21"/>
                      <w:szCs w:val="21"/>
                    </w:rPr>
                    <w:t>有组织排放合计</w:t>
                  </w:r>
                </w:p>
              </w:tc>
              <w:tc>
                <w:tcPr>
                  <w:tcW w:w="2499" w:type="pct"/>
                  <w:gridSpan w:val="3"/>
                  <w:vAlign w:val="center"/>
                </w:tcPr>
                <w:p w14:paraId="264D1FCD">
                  <w:pPr>
                    <w:adjustRightInd w:val="0"/>
                    <w:snapToGrid w:val="0"/>
                    <w:spacing w:line="240" w:lineRule="auto"/>
                    <w:ind w:firstLine="0" w:firstLineChars="0"/>
                    <w:jc w:val="center"/>
                    <w:rPr>
                      <w:bCs/>
                      <w:sz w:val="21"/>
                      <w:szCs w:val="21"/>
                    </w:rPr>
                  </w:pPr>
                  <w:r>
                    <w:rPr>
                      <w:rFonts w:hint="eastAsia"/>
                      <w:bCs/>
                      <w:sz w:val="21"/>
                      <w:szCs w:val="21"/>
                      <w:lang w:val="en-US" w:eastAsia="zh-CN"/>
                    </w:rPr>
                    <w:t>颗粒物</w:t>
                  </w:r>
                </w:p>
              </w:tc>
              <w:tc>
                <w:tcPr>
                  <w:tcW w:w="1403" w:type="dxa"/>
                  <w:vAlign w:val="center"/>
                </w:tcPr>
                <w:p w14:paraId="57B2AE71">
                  <w:pPr>
                    <w:adjustRightInd w:val="0"/>
                    <w:snapToGrid w:val="0"/>
                    <w:spacing w:line="240" w:lineRule="auto"/>
                    <w:ind w:firstLine="0" w:firstLineChars="0"/>
                    <w:jc w:val="center"/>
                    <w:rPr>
                      <w:bCs/>
                      <w:sz w:val="21"/>
                      <w:szCs w:val="21"/>
                    </w:rPr>
                  </w:pPr>
                  <w:r>
                    <w:rPr>
                      <w:rFonts w:hint="eastAsia"/>
                      <w:bCs/>
                      <w:sz w:val="21"/>
                      <w:szCs w:val="21"/>
                      <w:lang w:val="en-US" w:eastAsia="zh-CN"/>
                    </w:rPr>
                    <w:t>0.001</w:t>
                  </w:r>
                </w:p>
              </w:tc>
            </w:tr>
            <w:tr w14:paraId="4926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gridSpan w:val="2"/>
                  <w:vMerge w:val="continue"/>
                  <w:vAlign w:val="center"/>
                </w:tcPr>
                <w:p w14:paraId="2FC9B0F3">
                  <w:pPr>
                    <w:adjustRightInd w:val="0"/>
                    <w:snapToGrid w:val="0"/>
                    <w:spacing w:line="240" w:lineRule="auto"/>
                    <w:ind w:firstLine="0" w:firstLineChars="0"/>
                    <w:jc w:val="center"/>
                    <w:rPr>
                      <w:bCs/>
                      <w:sz w:val="21"/>
                      <w:szCs w:val="21"/>
                    </w:rPr>
                  </w:pPr>
                </w:p>
              </w:tc>
              <w:tc>
                <w:tcPr>
                  <w:tcW w:w="2499" w:type="pct"/>
                  <w:gridSpan w:val="3"/>
                  <w:vAlign w:val="center"/>
                </w:tcPr>
                <w:p w14:paraId="3815C829">
                  <w:pPr>
                    <w:adjustRightInd w:val="0"/>
                    <w:snapToGrid w:val="0"/>
                    <w:spacing w:line="240" w:lineRule="auto"/>
                    <w:ind w:firstLine="0" w:firstLineChars="0"/>
                    <w:jc w:val="center"/>
                    <w:rPr>
                      <w:bCs/>
                      <w:sz w:val="21"/>
                      <w:szCs w:val="21"/>
                    </w:rPr>
                  </w:pPr>
                  <w:r>
                    <w:rPr>
                      <w:rFonts w:hint="eastAsia"/>
                      <w:bCs/>
                      <w:sz w:val="21"/>
                      <w:szCs w:val="21"/>
                      <w:lang w:val="en-US" w:eastAsia="zh-CN"/>
                    </w:rPr>
                    <w:t>非甲烷总烃</w:t>
                  </w:r>
                </w:p>
              </w:tc>
              <w:tc>
                <w:tcPr>
                  <w:tcW w:w="1403" w:type="dxa"/>
                  <w:vAlign w:val="center"/>
                </w:tcPr>
                <w:p w14:paraId="5ABEBA49">
                  <w:pPr>
                    <w:adjustRightInd w:val="0"/>
                    <w:snapToGrid w:val="0"/>
                    <w:spacing w:line="240" w:lineRule="auto"/>
                    <w:ind w:firstLine="0" w:firstLineChars="0"/>
                    <w:jc w:val="center"/>
                    <w:rPr>
                      <w:rFonts w:hint="default"/>
                      <w:bCs/>
                      <w:sz w:val="21"/>
                      <w:szCs w:val="21"/>
                      <w:lang w:val="en-US"/>
                    </w:rPr>
                  </w:pPr>
                  <w:r>
                    <w:rPr>
                      <w:rFonts w:hint="eastAsia"/>
                      <w:bCs/>
                      <w:sz w:val="21"/>
                      <w:szCs w:val="21"/>
                      <w:lang w:val="en-US" w:eastAsia="zh-CN"/>
                    </w:rPr>
                    <w:t>1.186</w:t>
                  </w:r>
                </w:p>
              </w:tc>
            </w:tr>
          </w:tbl>
          <w:p w14:paraId="1EC51EEC">
            <w:pPr>
              <w:spacing w:line="240" w:lineRule="auto"/>
              <w:ind w:firstLine="0" w:firstLineChars="0"/>
              <w:jc w:val="center"/>
              <w:rPr>
                <w:b/>
                <w:bCs/>
                <w:szCs w:val="21"/>
              </w:rPr>
            </w:pPr>
            <w:r>
              <w:rPr>
                <w:b/>
                <w:bCs/>
                <w:szCs w:val="21"/>
              </w:rPr>
              <w:t>表4-</w:t>
            </w:r>
            <w:r>
              <w:rPr>
                <w:rFonts w:hint="eastAsia"/>
                <w:b/>
                <w:bCs/>
                <w:szCs w:val="21"/>
                <w:lang w:val="en-US" w:eastAsia="zh-CN"/>
              </w:rPr>
              <w:t>3</w:t>
            </w:r>
            <w:r>
              <w:rPr>
                <w:b/>
                <w:bCs/>
                <w:szCs w:val="21"/>
              </w:rPr>
              <w:t xml:space="preserve"> 大气污染物无组织排放量核算表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1653"/>
              <w:gridCol w:w="1653"/>
            </w:tblGrid>
            <w:tr w14:paraId="0FE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vAlign w:val="center"/>
                </w:tcPr>
                <w:p w14:paraId="3466C786">
                  <w:pPr>
                    <w:adjustRightInd w:val="0"/>
                    <w:snapToGrid w:val="0"/>
                    <w:spacing w:line="240" w:lineRule="auto"/>
                    <w:ind w:firstLine="0" w:firstLineChars="0"/>
                    <w:jc w:val="center"/>
                    <w:rPr>
                      <w:bCs/>
                      <w:sz w:val="21"/>
                      <w:szCs w:val="21"/>
                    </w:rPr>
                  </w:pPr>
                  <w:r>
                    <w:rPr>
                      <w:bCs/>
                      <w:sz w:val="21"/>
                      <w:szCs w:val="21"/>
                    </w:rPr>
                    <w:t>序号</w:t>
                  </w:r>
                </w:p>
              </w:tc>
              <w:tc>
                <w:tcPr>
                  <w:tcW w:w="1653" w:type="dxa"/>
                  <w:vAlign w:val="center"/>
                </w:tcPr>
                <w:p w14:paraId="1693F2CF">
                  <w:pPr>
                    <w:adjustRightInd w:val="0"/>
                    <w:snapToGrid w:val="0"/>
                    <w:spacing w:line="240" w:lineRule="auto"/>
                    <w:ind w:firstLine="0" w:firstLineChars="0"/>
                    <w:jc w:val="center"/>
                    <w:rPr>
                      <w:bCs/>
                      <w:sz w:val="21"/>
                      <w:szCs w:val="21"/>
                    </w:rPr>
                  </w:pPr>
                  <w:r>
                    <w:rPr>
                      <w:bCs/>
                      <w:sz w:val="21"/>
                      <w:szCs w:val="21"/>
                    </w:rPr>
                    <w:t>产污环节</w:t>
                  </w:r>
                </w:p>
              </w:tc>
              <w:tc>
                <w:tcPr>
                  <w:tcW w:w="1653" w:type="dxa"/>
                  <w:vAlign w:val="center"/>
                </w:tcPr>
                <w:p w14:paraId="607DA164">
                  <w:pPr>
                    <w:adjustRightInd w:val="0"/>
                    <w:snapToGrid w:val="0"/>
                    <w:spacing w:line="240" w:lineRule="auto"/>
                    <w:ind w:firstLine="0" w:firstLineChars="0"/>
                    <w:jc w:val="center"/>
                    <w:rPr>
                      <w:bCs/>
                      <w:sz w:val="21"/>
                      <w:szCs w:val="21"/>
                    </w:rPr>
                  </w:pPr>
                  <w:r>
                    <w:rPr>
                      <w:bCs/>
                      <w:sz w:val="21"/>
                      <w:szCs w:val="21"/>
                    </w:rPr>
                    <w:t>污染物</w:t>
                  </w:r>
                </w:p>
              </w:tc>
              <w:tc>
                <w:tcPr>
                  <w:tcW w:w="1653" w:type="dxa"/>
                  <w:vAlign w:val="center"/>
                </w:tcPr>
                <w:p w14:paraId="0BB06807">
                  <w:pPr>
                    <w:adjustRightInd w:val="0"/>
                    <w:snapToGrid w:val="0"/>
                    <w:spacing w:line="240" w:lineRule="auto"/>
                    <w:ind w:firstLine="0" w:firstLineChars="0"/>
                    <w:jc w:val="center"/>
                    <w:rPr>
                      <w:bCs/>
                      <w:sz w:val="21"/>
                      <w:szCs w:val="21"/>
                    </w:rPr>
                  </w:pPr>
                  <w:r>
                    <w:rPr>
                      <w:bCs/>
                      <w:sz w:val="21"/>
                      <w:szCs w:val="21"/>
                    </w:rPr>
                    <w:t>主要防治措施</w:t>
                  </w:r>
                </w:p>
              </w:tc>
              <w:tc>
                <w:tcPr>
                  <w:tcW w:w="1653" w:type="dxa"/>
                  <w:vAlign w:val="center"/>
                </w:tcPr>
                <w:p w14:paraId="24424E30">
                  <w:pPr>
                    <w:adjustRightInd w:val="0"/>
                    <w:snapToGrid w:val="0"/>
                    <w:spacing w:line="240" w:lineRule="auto"/>
                    <w:ind w:firstLine="0" w:firstLineChars="0"/>
                    <w:jc w:val="center"/>
                    <w:rPr>
                      <w:bCs/>
                      <w:sz w:val="21"/>
                      <w:szCs w:val="21"/>
                    </w:rPr>
                  </w:pPr>
                  <w:r>
                    <w:rPr>
                      <w:bCs/>
                      <w:sz w:val="21"/>
                      <w:szCs w:val="21"/>
                    </w:rPr>
                    <w:t>年排放量</w:t>
                  </w:r>
                  <w:r>
                    <w:rPr>
                      <w:rFonts w:hint="eastAsia"/>
                      <w:color w:val="000000"/>
                      <w:kern w:val="0"/>
                      <w:sz w:val="22"/>
                      <w:szCs w:val="22"/>
                      <w:lang w:val="en-US" w:eastAsia="zh-CN"/>
                    </w:rPr>
                    <w:t>t/a</w:t>
                  </w:r>
                </w:p>
              </w:tc>
            </w:tr>
            <w:tr w14:paraId="21F6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vAlign w:val="center"/>
                </w:tcPr>
                <w:p w14:paraId="5F1EC1C9">
                  <w:pPr>
                    <w:adjustRightInd w:val="0"/>
                    <w:snapToGrid w:val="0"/>
                    <w:spacing w:line="240" w:lineRule="auto"/>
                    <w:ind w:firstLine="0" w:firstLineChars="0"/>
                    <w:jc w:val="center"/>
                    <w:rPr>
                      <w:bCs/>
                      <w:sz w:val="21"/>
                      <w:szCs w:val="21"/>
                    </w:rPr>
                  </w:pPr>
                  <w:r>
                    <w:rPr>
                      <w:bCs/>
                      <w:sz w:val="21"/>
                      <w:szCs w:val="21"/>
                    </w:rPr>
                    <w:t>1</w:t>
                  </w:r>
                </w:p>
              </w:tc>
              <w:tc>
                <w:tcPr>
                  <w:tcW w:w="1653" w:type="dxa"/>
                  <w:vAlign w:val="center"/>
                </w:tcPr>
                <w:p w14:paraId="389A9161">
                  <w:pPr>
                    <w:adjustRightInd w:val="0"/>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精炼酶投料、混合、分装</w:t>
                  </w:r>
                </w:p>
              </w:tc>
              <w:tc>
                <w:tcPr>
                  <w:tcW w:w="1653" w:type="dxa"/>
                  <w:vAlign w:val="center"/>
                </w:tcPr>
                <w:p w14:paraId="69F05008">
                  <w:pPr>
                    <w:adjustRightInd w:val="0"/>
                    <w:snapToGrid w:val="0"/>
                    <w:spacing w:line="240" w:lineRule="auto"/>
                    <w:ind w:firstLine="0" w:firstLineChars="0"/>
                    <w:jc w:val="center"/>
                    <w:rPr>
                      <w:rFonts w:hint="eastAsia" w:eastAsia="宋体"/>
                      <w:bCs/>
                      <w:sz w:val="21"/>
                      <w:szCs w:val="21"/>
                      <w:lang w:eastAsia="zh-CN"/>
                    </w:rPr>
                  </w:pPr>
                  <w:r>
                    <w:rPr>
                      <w:rFonts w:hint="eastAsia"/>
                      <w:bCs/>
                      <w:sz w:val="21"/>
                      <w:szCs w:val="21"/>
                      <w:lang w:val="en-US" w:eastAsia="zh-CN"/>
                    </w:rPr>
                    <w:t>颗粒物</w:t>
                  </w:r>
                </w:p>
              </w:tc>
              <w:tc>
                <w:tcPr>
                  <w:tcW w:w="1653" w:type="dxa"/>
                  <w:vAlign w:val="center"/>
                </w:tcPr>
                <w:p w14:paraId="5123F1E3">
                  <w:pPr>
                    <w:widowControl/>
                    <w:spacing w:line="240" w:lineRule="auto"/>
                    <w:ind w:firstLine="0" w:firstLineChars="0"/>
                    <w:jc w:val="center"/>
                    <w:rPr>
                      <w:rFonts w:hint="default" w:eastAsia="宋体"/>
                      <w:color w:val="000000"/>
                      <w:kern w:val="0"/>
                      <w:sz w:val="22"/>
                      <w:szCs w:val="22"/>
                      <w:lang w:val="en-US" w:eastAsia="zh-CN"/>
                    </w:rPr>
                  </w:pPr>
                  <w:r>
                    <w:rPr>
                      <w:rFonts w:hint="eastAsia"/>
                      <w:color w:val="000000"/>
                      <w:kern w:val="0"/>
                      <w:sz w:val="22"/>
                      <w:szCs w:val="22"/>
                      <w:lang w:val="en-US" w:eastAsia="zh-CN"/>
                    </w:rPr>
                    <w:t>加强废气收集</w:t>
                  </w:r>
                </w:p>
              </w:tc>
              <w:tc>
                <w:tcPr>
                  <w:tcW w:w="1653" w:type="dxa"/>
                  <w:vAlign w:val="center"/>
                </w:tcPr>
                <w:p w14:paraId="0D856C00">
                  <w:pPr>
                    <w:widowControl/>
                    <w:spacing w:line="240" w:lineRule="auto"/>
                    <w:ind w:firstLine="0" w:firstLineChars="0"/>
                    <w:jc w:val="center"/>
                    <w:rPr>
                      <w:rFonts w:hint="default" w:eastAsia="宋体"/>
                      <w:color w:val="000000"/>
                      <w:kern w:val="0"/>
                      <w:sz w:val="22"/>
                      <w:szCs w:val="22"/>
                      <w:lang w:val="en-US" w:eastAsia="zh-CN"/>
                    </w:rPr>
                  </w:pPr>
                  <w:r>
                    <w:rPr>
                      <w:rFonts w:hint="eastAsia"/>
                      <w:color w:val="000000"/>
                      <w:kern w:val="0"/>
                      <w:sz w:val="22"/>
                      <w:szCs w:val="22"/>
                      <w:lang w:val="en-US" w:eastAsia="zh-CN"/>
                    </w:rPr>
                    <w:t>0.008</w:t>
                  </w:r>
                </w:p>
              </w:tc>
            </w:tr>
            <w:tr w14:paraId="1950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vAlign w:val="center"/>
                </w:tcPr>
                <w:p w14:paraId="46F1E6FB">
                  <w:pPr>
                    <w:adjustRightInd w:val="0"/>
                    <w:snapToGrid w:val="0"/>
                    <w:spacing w:line="240" w:lineRule="auto"/>
                    <w:ind w:firstLine="0" w:firstLineChars="0"/>
                    <w:jc w:val="center"/>
                    <w:rPr>
                      <w:rFonts w:hint="eastAsia" w:eastAsia="宋体"/>
                      <w:bCs/>
                      <w:sz w:val="21"/>
                      <w:szCs w:val="21"/>
                      <w:lang w:eastAsia="zh-CN"/>
                    </w:rPr>
                  </w:pPr>
                  <w:r>
                    <w:rPr>
                      <w:rFonts w:hint="eastAsia"/>
                      <w:bCs/>
                      <w:sz w:val="21"/>
                      <w:szCs w:val="21"/>
                      <w:lang w:val="en-US" w:eastAsia="zh-CN"/>
                    </w:rPr>
                    <w:t>2</w:t>
                  </w:r>
                </w:p>
              </w:tc>
              <w:tc>
                <w:tcPr>
                  <w:tcW w:w="1653" w:type="dxa"/>
                  <w:vAlign w:val="center"/>
                </w:tcPr>
                <w:p w14:paraId="67A414AE">
                  <w:pPr>
                    <w:adjustRightInd w:val="0"/>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有机助剂搅拌、分装</w:t>
                  </w:r>
                </w:p>
              </w:tc>
              <w:tc>
                <w:tcPr>
                  <w:tcW w:w="1653" w:type="dxa"/>
                  <w:vAlign w:val="center"/>
                </w:tcPr>
                <w:p w14:paraId="32CCFE7F">
                  <w:pPr>
                    <w:adjustRightInd w:val="0"/>
                    <w:snapToGrid w:val="0"/>
                    <w:spacing w:line="240" w:lineRule="auto"/>
                    <w:ind w:firstLine="0" w:firstLineChars="0"/>
                    <w:jc w:val="center"/>
                    <w:rPr>
                      <w:rFonts w:hint="eastAsia" w:eastAsia="宋体"/>
                      <w:bCs/>
                      <w:sz w:val="21"/>
                      <w:szCs w:val="21"/>
                      <w:lang w:eastAsia="zh-CN"/>
                    </w:rPr>
                  </w:pPr>
                  <w:r>
                    <w:rPr>
                      <w:rFonts w:hint="eastAsia"/>
                      <w:bCs/>
                      <w:sz w:val="21"/>
                      <w:szCs w:val="21"/>
                      <w:lang w:val="en-US" w:eastAsia="zh-CN"/>
                    </w:rPr>
                    <w:t>非甲烷总烃</w:t>
                  </w:r>
                </w:p>
              </w:tc>
              <w:tc>
                <w:tcPr>
                  <w:tcW w:w="1653" w:type="dxa"/>
                  <w:vAlign w:val="center"/>
                </w:tcPr>
                <w:p w14:paraId="7C01CC85">
                  <w:pPr>
                    <w:adjustRightInd w:val="0"/>
                    <w:snapToGrid w:val="0"/>
                    <w:spacing w:line="240" w:lineRule="auto"/>
                    <w:ind w:firstLine="0" w:firstLineChars="0"/>
                    <w:jc w:val="center"/>
                    <w:rPr>
                      <w:bCs/>
                      <w:sz w:val="21"/>
                      <w:szCs w:val="21"/>
                    </w:rPr>
                  </w:pPr>
                  <w:r>
                    <w:rPr>
                      <w:rFonts w:hint="eastAsia"/>
                      <w:color w:val="000000"/>
                      <w:kern w:val="0"/>
                      <w:sz w:val="22"/>
                      <w:szCs w:val="22"/>
                      <w:lang w:val="en-US" w:eastAsia="zh-CN"/>
                    </w:rPr>
                    <w:t>加强废气收集</w:t>
                  </w:r>
                </w:p>
              </w:tc>
              <w:tc>
                <w:tcPr>
                  <w:tcW w:w="1653" w:type="dxa"/>
                  <w:vAlign w:val="center"/>
                </w:tcPr>
                <w:p w14:paraId="29BC077D">
                  <w:pPr>
                    <w:adjustRightInd w:val="0"/>
                    <w:snapToGrid w:val="0"/>
                    <w:spacing w:line="240" w:lineRule="auto"/>
                    <w:ind w:firstLine="0" w:firstLineChars="0"/>
                    <w:jc w:val="center"/>
                    <w:rPr>
                      <w:bCs/>
                      <w:sz w:val="21"/>
                      <w:szCs w:val="21"/>
                    </w:rPr>
                  </w:pPr>
                  <w:r>
                    <w:rPr>
                      <w:rFonts w:hint="eastAsia"/>
                      <w:color w:val="000000"/>
                      <w:kern w:val="0"/>
                      <w:sz w:val="22"/>
                      <w:szCs w:val="22"/>
                      <w:lang w:val="en-US" w:eastAsia="zh-CN"/>
                    </w:rPr>
                    <w:t>0.025</w:t>
                  </w:r>
                </w:p>
              </w:tc>
            </w:tr>
          </w:tbl>
          <w:p w14:paraId="7D4109E2">
            <w:pPr>
              <w:spacing w:line="240" w:lineRule="auto"/>
              <w:ind w:firstLine="0" w:firstLineChars="0"/>
              <w:jc w:val="center"/>
              <w:rPr>
                <w:b/>
                <w:bCs/>
                <w:szCs w:val="21"/>
              </w:rPr>
            </w:pPr>
          </w:p>
          <w:p w14:paraId="1C118E8F">
            <w:pPr>
              <w:spacing w:line="240" w:lineRule="auto"/>
              <w:ind w:firstLine="0" w:firstLineChars="0"/>
              <w:jc w:val="center"/>
              <w:rPr>
                <w:b/>
                <w:bCs/>
                <w:szCs w:val="21"/>
              </w:rPr>
            </w:pPr>
            <w:r>
              <w:rPr>
                <w:b/>
                <w:bCs/>
                <w:szCs w:val="21"/>
              </w:rPr>
              <w:t>表4-</w:t>
            </w:r>
            <w:r>
              <w:rPr>
                <w:rFonts w:hint="eastAsia"/>
                <w:b/>
                <w:bCs/>
                <w:szCs w:val="21"/>
                <w:lang w:val="en-US" w:eastAsia="zh-CN"/>
              </w:rPr>
              <w:t>4</w:t>
            </w:r>
            <w:r>
              <w:rPr>
                <w:b/>
                <w:bCs/>
                <w:szCs w:val="21"/>
              </w:rPr>
              <w:t>本项目大气污染物年排放量核算表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2755"/>
              <w:gridCol w:w="2755"/>
            </w:tblGrid>
            <w:tr w14:paraId="3665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14:paraId="0D61AA47">
                  <w:pPr>
                    <w:adjustRightInd w:val="0"/>
                    <w:snapToGrid w:val="0"/>
                    <w:spacing w:line="240" w:lineRule="auto"/>
                    <w:ind w:firstLine="0" w:firstLineChars="0"/>
                    <w:jc w:val="center"/>
                    <w:rPr>
                      <w:bCs/>
                      <w:sz w:val="21"/>
                      <w:szCs w:val="21"/>
                    </w:rPr>
                  </w:pPr>
                  <w:r>
                    <w:rPr>
                      <w:bCs/>
                      <w:sz w:val="21"/>
                      <w:szCs w:val="21"/>
                    </w:rPr>
                    <w:t>序号</w:t>
                  </w:r>
                </w:p>
              </w:tc>
              <w:tc>
                <w:tcPr>
                  <w:tcW w:w="2755" w:type="dxa"/>
                </w:tcPr>
                <w:p w14:paraId="627DDEA3">
                  <w:pPr>
                    <w:adjustRightInd w:val="0"/>
                    <w:snapToGrid w:val="0"/>
                    <w:spacing w:line="240" w:lineRule="auto"/>
                    <w:ind w:firstLine="0" w:firstLineChars="0"/>
                    <w:jc w:val="center"/>
                    <w:rPr>
                      <w:bCs/>
                      <w:sz w:val="21"/>
                      <w:szCs w:val="21"/>
                    </w:rPr>
                  </w:pPr>
                  <w:r>
                    <w:rPr>
                      <w:bCs/>
                      <w:sz w:val="21"/>
                      <w:szCs w:val="21"/>
                    </w:rPr>
                    <w:t>污染物</w:t>
                  </w:r>
                </w:p>
              </w:tc>
              <w:tc>
                <w:tcPr>
                  <w:tcW w:w="2755" w:type="dxa"/>
                </w:tcPr>
                <w:p w14:paraId="3408184E">
                  <w:pPr>
                    <w:adjustRightInd w:val="0"/>
                    <w:snapToGrid w:val="0"/>
                    <w:spacing w:line="240" w:lineRule="auto"/>
                    <w:ind w:firstLine="0" w:firstLineChars="0"/>
                    <w:jc w:val="center"/>
                    <w:rPr>
                      <w:bCs/>
                      <w:sz w:val="21"/>
                      <w:szCs w:val="21"/>
                    </w:rPr>
                  </w:pPr>
                  <w:r>
                    <w:rPr>
                      <w:bCs/>
                      <w:sz w:val="21"/>
                      <w:szCs w:val="21"/>
                    </w:rPr>
                    <w:t>年排放量</w:t>
                  </w:r>
                  <w:r>
                    <w:rPr>
                      <w:rFonts w:hint="eastAsia"/>
                      <w:bCs/>
                      <w:sz w:val="21"/>
                      <w:szCs w:val="21"/>
                      <w:lang w:val="en-US" w:eastAsia="zh-CN"/>
                    </w:rPr>
                    <w:t>t/a</w:t>
                  </w:r>
                </w:p>
              </w:tc>
            </w:tr>
            <w:tr w14:paraId="2539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14:paraId="1C66DAD5">
                  <w:pPr>
                    <w:adjustRightInd w:val="0"/>
                    <w:snapToGrid w:val="0"/>
                    <w:spacing w:line="240" w:lineRule="auto"/>
                    <w:ind w:firstLine="0" w:firstLineChars="0"/>
                    <w:jc w:val="center"/>
                    <w:rPr>
                      <w:bCs/>
                      <w:sz w:val="21"/>
                      <w:szCs w:val="21"/>
                    </w:rPr>
                  </w:pPr>
                  <w:r>
                    <w:rPr>
                      <w:bCs/>
                      <w:sz w:val="21"/>
                      <w:szCs w:val="21"/>
                    </w:rPr>
                    <w:t>1</w:t>
                  </w:r>
                </w:p>
              </w:tc>
              <w:tc>
                <w:tcPr>
                  <w:tcW w:w="2755" w:type="dxa"/>
                  <w:vAlign w:val="center"/>
                </w:tcPr>
                <w:p w14:paraId="4338F3ED">
                  <w:pPr>
                    <w:adjustRightInd w:val="0"/>
                    <w:snapToGrid w:val="0"/>
                    <w:spacing w:line="240" w:lineRule="auto"/>
                    <w:ind w:firstLine="0" w:firstLineChars="0"/>
                    <w:jc w:val="center"/>
                    <w:rPr>
                      <w:bCs/>
                      <w:sz w:val="21"/>
                      <w:szCs w:val="21"/>
                    </w:rPr>
                  </w:pPr>
                  <w:r>
                    <w:rPr>
                      <w:rFonts w:hint="eastAsia"/>
                      <w:bCs/>
                      <w:sz w:val="21"/>
                      <w:szCs w:val="21"/>
                      <w:lang w:val="en-US" w:eastAsia="zh-CN"/>
                    </w:rPr>
                    <w:t>颗粒物</w:t>
                  </w:r>
                </w:p>
              </w:tc>
              <w:tc>
                <w:tcPr>
                  <w:tcW w:w="2755" w:type="dxa"/>
                </w:tcPr>
                <w:p w14:paraId="67BEC175">
                  <w:pPr>
                    <w:adjustRightInd w:val="0"/>
                    <w:snapToGrid w:val="0"/>
                    <w:spacing w:line="240" w:lineRule="auto"/>
                    <w:ind w:firstLine="420" w:firstLineChars="200"/>
                    <w:jc w:val="center"/>
                    <w:rPr>
                      <w:bCs/>
                      <w:sz w:val="21"/>
                      <w:szCs w:val="21"/>
                    </w:rPr>
                  </w:pPr>
                  <w:r>
                    <w:rPr>
                      <w:rFonts w:hint="eastAsia"/>
                      <w:bCs/>
                      <w:sz w:val="21"/>
                      <w:szCs w:val="21"/>
                      <w:lang w:val="en-US" w:eastAsia="zh-CN"/>
                    </w:rPr>
                    <w:t>0.009</w:t>
                  </w:r>
                </w:p>
              </w:tc>
            </w:tr>
            <w:tr w14:paraId="0276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14:paraId="4FA04879">
                  <w:pPr>
                    <w:adjustRightInd w:val="0"/>
                    <w:snapToGrid w:val="0"/>
                    <w:spacing w:line="240" w:lineRule="auto"/>
                    <w:ind w:firstLine="0" w:firstLineChars="0"/>
                    <w:jc w:val="center"/>
                    <w:rPr>
                      <w:bCs/>
                      <w:sz w:val="21"/>
                      <w:szCs w:val="21"/>
                    </w:rPr>
                  </w:pPr>
                  <w:r>
                    <w:rPr>
                      <w:bCs/>
                      <w:sz w:val="21"/>
                      <w:szCs w:val="21"/>
                    </w:rPr>
                    <w:t>2</w:t>
                  </w:r>
                </w:p>
              </w:tc>
              <w:tc>
                <w:tcPr>
                  <w:tcW w:w="2755" w:type="dxa"/>
                  <w:vAlign w:val="center"/>
                </w:tcPr>
                <w:p w14:paraId="7D7750AA">
                  <w:pPr>
                    <w:adjustRightInd w:val="0"/>
                    <w:snapToGrid w:val="0"/>
                    <w:spacing w:line="240" w:lineRule="auto"/>
                    <w:ind w:firstLine="0" w:firstLineChars="0"/>
                    <w:jc w:val="center"/>
                    <w:rPr>
                      <w:bCs/>
                      <w:sz w:val="21"/>
                      <w:szCs w:val="21"/>
                    </w:rPr>
                  </w:pPr>
                  <w:r>
                    <w:rPr>
                      <w:rFonts w:hint="eastAsia"/>
                      <w:bCs/>
                      <w:sz w:val="21"/>
                      <w:szCs w:val="21"/>
                      <w:lang w:val="en-US" w:eastAsia="zh-CN"/>
                    </w:rPr>
                    <w:t>非甲烷总烃</w:t>
                  </w:r>
                </w:p>
              </w:tc>
              <w:tc>
                <w:tcPr>
                  <w:tcW w:w="2755" w:type="dxa"/>
                  <w:vAlign w:val="center"/>
                </w:tcPr>
                <w:p w14:paraId="1DA74428">
                  <w:pPr>
                    <w:widowControl/>
                    <w:spacing w:line="240" w:lineRule="auto"/>
                    <w:ind w:firstLine="420" w:firstLineChars="200"/>
                    <w:jc w:val="center"/>
                    <w:rPr>
                      <w:color w:val="000000"/>
                      <w:kern w:val="0"/>
                      <w:sz w:val="22"/>
                      <w:szCs w:val="22"/>
                    </w:rPr>
                  </w:pPr>
                  <w:r>
                    <w:rPr>
                      <w:rFonts w:hint="eastAsia"/>
                      <w:bCs/>
                      <w:sz w:val="21"/>
                      <w:szCs w:val="21"/>
                      <w:lang w:val="en-US" w:eastAsia="zh-CN"/>
                    </w:rPr>
                    <w:t>1.435</w:t>
                  </w:r>
                </w:p>
              </w:tc>
            </w:tr>
          </w:tbl>
          <w:p w14:paraId="6123B03C">
            <w:pPr>
              <w:spacing w:line="240" w:lineRule="auto"/>
              <w:ind w:firstLine="0" w:firstLineChars="0"/>
              <w:jc w:val="center"/>
              <w:rPr>
                <w:b/>
                <w:bCs/>
                <w:szCs w:val="21"/>
              </w:rPr>
            </w:pPr>
            <w:r>
              <w:rPr>
                <w:b/>
                <w:bCs/>
                <w:szCs w:val="21"/>
              </w:rPr>
              <w:t xml:space="preserve">  </w:t>
            </w:r>
          </w:p>
          <w:p w14:paraId="218407B0">
            <w:pPr>
              <w:spacing w:line="240" w:lineRule="auto"/>
              <w:ind w:firstLine="0" w:firstLineChars="0"/>
              <w:jc w:val="center"/>
              <w:rPr>
                <w:b/>
                <w:bCs/>
                <w:szCs w:val="21"/>
              </w:rPr>
            </w:pPr>
            <w:r>
              <w:rPr>
                <w:b/>
                <w:bCs/>
                <w:szCs w:val="21"/>
              </w:rPr>
              <w:t>表4-</w:t>
            </w:r>
            <w:r>
              <w:rPr>
                <w:rFonts w:hint="eastAsia"/>
                <w:b/>
                <w:bCs/>
                <w:szCs w:val="21"/>
                <w:lang w:val="en-US" w:eastAsia="zh-CN"/>
              </w:rPr>
              <w:t>5</w:t>
            </w:r>
            <w:r>
              <w:rPr>
                <w:b/>
                <w:bCs/>
                <w:szCs w:val="21"/>
              </w:rPr>
              <w:t xml:space="preserve"> 本项目排放口基本情况表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962"/>
              <w:gridCol w:w="650"/>
              <w:gridCol w:w="1668"/>
              <w:gridCol w:w="993"/>
              <w:gridCol w:w="850"/>
              <w:gridCol w:w="992"/>
              <w:gridCol w:w="755"/>
              <w:gridCol w:w="674"/>
            </w:tblGrid>
            <w:tr w14:paraId="79FC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5" w:type="dxa"/>
                  <w:vAlign w:val="center"/>
                </w:tcPr>
                <w:p w14:paraId="25A82CA3">
                  <w:pPr>
                    <w:adjustRightInd w:val="0"/>
                    <w:snapToGrid w:val="0"/>
                    <w:spacing w:line="240" w:lineRule="auto"/>
                    <w:ind w:firstLine="0" w:firstLineChars="0"/>
                    <w:jc w:val="center"/>
                    <w:rPr>
                      <w:bCs/>
                      <w:sz w:val="21"/>
                      <w:szCs w:val="21"/>
                    </w:rPr>
                  </w:pPr>
                  <w:r>
                    <w:rPr>
                      <w:bCs/>
                      <w:sz w:val="21"/>
                      <w:szCs w:val="21"/>
                    </w:rPr>
                    <w:t>排放口</w:t>
                  </w:r>
                </w:p>
              </w:tc>
              <w:tc>
                <w:tcPr>
                  <w:tcW w:w="962" w:type="dxa"/>
                  <w:vAlign w:val="center"/>
                </w:tcPr>
                <w:p w14:paraId="1FFEA1C2">
                  <w:pPr>
                    <w:adjustRightInd w:val="0"/>
                    <w:snapToGrid w:val="0"/>
                    <w:spacing w:line="240" w:lineRule="auto"/>
                    <w:ind w:firstLine="0" w:firstLineChars="0"/>
                    <w:jc w:val="center"/>
                    <w:rPr>
                      <w:bCs/>
                      <w:sz w:val="21"/>
                      <w:szCs w:val="21"/>
                    </w:rPr>
                  </w:pPr>
                  <w:r>
                    <w:rPr>
                      <w:bCs/>
                      <w:sz w:val="21"/>
                      <w:szCs w:val="21"/>
                    </w:rPr>
                    <w:t>污染防治措施</w:t>
                  </w:r>
                </w:p>
              </w:tc>
              <w:tc>
                <w:tcPr>
                  <w:tcW w:w="650" w:type="dxa"/>
                  <w:vAlign w:val="center"/>
                </w:tcPr>
                <w:p w14:paraId="4FC264E2">
                  <w:pPr>
                    <w:adjustRightInd w:val="0"/>
                    <w:snapToGrid w:val="0"/>
                    <w:spacing w:line="240" w:lineRule="auto"/>
                    <w:ind w:firstLine="0" w:firstLineChars="0"/>
                    <w:jc w:val="center"/>
                    <w:rPr>
                      <w:bCs/>
                      <w:sz w:val="21"/>
                      <w:szCs w:val="21"/>
                    </w:rPr>
                  </w:pPr>
                  <w:r>
                    <w:rPr>
                      <w:bCs/>
                      <w:sz w:val="21"/>
                      <w:szCs w:val="21"/>
                    </w:rPr>
                    <w:t>污染物</w:t>
                  </w:r>
                </w:p>
              </w:tc>
              <w:tc>
                <w:tcPr>
                  <w:tcW w:w="1668" w:type="dxa"/>
                  <w:vAlign w:val="center"/>
                </w:tcPr>
                <w:p w14:paraId="0B270622">
                  <w:pPr>
                    <w:adjustRightInd w:val="0"/>
                    <w:snapToGrid w:val="0"/>
                    <w:spacing w:line="240" w:lineRule="auto"/>
                    <w:ind w:firstLine="0" w:firstLineChars="0"/>
                    <w:jc w:val="center"/>
                    <w:rPr>
                      <w:bCs/>
                      <w:sz w:val="21"/>
                      <w:szCs w:val="21"/>
                    </w:rPr>
                  </w:pPr>
                  <w:r>
                    <w:rPr>
                      <w:bCs/>
                      <w:sz w:val="21"/>
                      <w:szCs w:val="21"/>
                    </w:rPr>
                    <w:t>坐标</w:t>
                  </w:r>
                </w:p>
              </w:tc>
              <w:tc>
                <w:tcPr>
                  <w:tcW w:w="993" w:type="dxa"/>
                  <w:vAlign w:val="center"/>
                </w:tcPr>
                <w:p w14:paraId="7B43165E">
                  <w:pPr>
                    <w:adjustRightInd w:val="0"/>
                    <w:snapToGrid w:val="0"/>
                    <w:spacing w:line="240" w:lineRule="auto"/>
                    <w:ind w:firstLine="0" w:firstLineChars="0"/>
                    <w:jc w:val="center"/>
                    <w:rPr>
                      <w:bCs/>
                      <w:sz w:val="21"/>
                      <w:szCs w:val="21"/>
                    </w:rPr>
                  </w:pPr>
                  <w:r>
                    <w:rPr>
                      <w:bCs/>
                      <w:sz w:val="21"/>
                      <w:szCs w:val="21"/>
                    </w:rPr>
                    <w:t>排气筒高度</w:t>
                  </w:r>
                  <w:r>
                    <w:rPr>
                      <w:rFonts w:hint="eastAsia"/>
                      <w:bCs/>
                      <w:sz w:val="21"/>
                      <w:szCs w:val="21"/>
                      <w:lang w:val="en-US" w:eastAsia="zh-CN"/>
                    </w:rPr>
                    <w:t>m</w:t>
                  </w:r>
                </w:p>
              </w:tc>
              <w:tc>
                <w:tcPr>
                  <w:tcW w:w="850" w:type="dxa"/>
                  <w:vAlign w:val="center"/>
                </w:tcPr>
                <w:p w14:paraId="6D460F44">
                  <w:pPr>
                    <w:adjustRightInd w:val="0"/>
                    <w:snapToGrid w:val="0"/>
                    <w:spacing w:line="240" w:lineRule="auto"/>
                    <w:ind w:firstLine="0" w:firstLineChars="0"/>
                    <w:jc w:val="center"/>
                    <w:rPr>
                      <w:bCs/>
                      <w:sz w:val="21"/>
                      <w:szCs w:val="21"/>
                    </w:rPr>
                  </w:pPr>
                  <w:r>
                    <w:rPr>
                      <w:bCs/>
                      <w:sz w:val="21"/>
                      <w:szCs w:val="21"/>
                    </w:rPr>
                    <w:t>排口内径m</w:t>
                  </w:r>
                </w:p>
              </w:tc>
              <w:tc>
                <w:tcPr>
                  <w:tcW w:w="992" w:type="dxa"/>
                  <w:vAlign w:val="center"/>
                </w:tcPr>
                <w:p w14:paraId="2688DE56">
                  <w:pPr>
                    <w:adjustRightInd w:val="0"/>
                    <w:snapToGrid w:val="0"/>
                    <w:spacing w:line="240" w:lineRule="auto"/>
                    <w:ind w:firstLine="0" w:firstLineChars="0"/>
                    <w:jc w:val="center"/>
                    <w:rPr>
                      <w:bCs/>
                      <w:sz w:val="21"/>
                      <w:szCs w:val="21"/>
                    </w:rPr>
                  </w:pPr>
                  <w:r>
                    <w:rPr>
                      <w:bCs/>
                      <w:sz w:val="21"/>
                      <w:szCs w:val="21"/>
                    </w:rPr>
                    <w:t>烟气流速m/s</w:t>
                  </w:r>
                </w:p>
              </w:tc>
              <w:tc>
                <w:tcPr>
                  <w:tcW w:w="755" w:type="dxa"/>
                  <w:vAlign w:val="center"/>
                </w:tcPr>
                <w:p w14:paraId="3C91677B">
                  <w:pPr>
                    <w:adjustRightInd w:val="0"/>
                    <w:snapToGrid w:val="0"/>
                    <w:spacing w:line="240" w:lineRule="auto"/>
                    <w:ind w:firstLine="0" w:firstLineChars="0"/>
                    <w:jc w:val="center"/>
                    <w:rPr>
                      <w:bCs/>
                      <w:sz w:val="21"/>
                      <w:szCs w:val="21"/>
                    </w:rPr>
                  </w:pPr>
                  <w:r>
                    <w:rPr>
                      <w:bCs/>
                      <w:sz w:val="21"/>
                      <w:szCs w:val="21"/>
                    </w:rPr>
                    <w:t>烟气温度℃</w:t>
                  </w:r>
                </w:p>
              </w:tc>
              <w:tc>
                <w:tcPr>
                  <w:tcW w:w="674" w:type="dxa"/>
                  <w:vAlign w:val="center"/>
                </w:tcPr>
                <w:p w14:paraId="4DFDEBA5">
                  <w:pPr>
                    <w:adjustRightInd w:val="0"/>
                    <w:snapToGrid w:val="0"/>
                    <w:spacing w:line="240" w:lineRule="auto"/>
                    <w:ind w:firstLine="0" w:firstLineChars="0"/>
                    <w:jc w:val="center"/>
                    <w:rPr>
                      <w:bCs/>
                      <w:sz w:val="21"/>
                      <w:szCs w:val="21"/>
                    </w:rPr>
                  </w:pPr>
                  <w:r>
                    <w:rPr>
                      <w:bCs/>
                      <w:sz w:val="21"/>
                      <w:szCs w:val="21"/>
                    </w:rPr>
                    <w:t>类型</w:t>
                  </w:r>
                </w:p>
              </w:tc>
            </w:tr>
            <w:tr w14:paraId="4163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EA17C01">
                  <w:pPr>
                    <w:adjustRightInd w:val="0"/>
                    <w:snapToGrid w:val="0"/>
                    <w:spacing w:line="240" w:lineRule="auto"/>
                    <w:ind w:firstLine="0" w:firstLineChars="0"/>
                    <w:jc w:val="center"/>
                    <w:rPr>
                      <w:bCs/>
                      <w:sz w:val="21"/>
                      <w:szCs w:val="21"/>
                    </w:rPr>
                  </w:pPr>
                  <w:r>
                    <w:rPr>
                      <w:bCs/>
                      <w:sz w:val="21"/>
                      <w:szCs w:val="21"/>
                    </w:rPr>
                    <w:t>DA001</w:t>
                  </w:r>
                </w:p>
              </w:tc>
              <w:tc>
                <w:tcPr>
                  <w:tcW w:w="962" w:type="dxa"/>
                  <w:vAlign w:val="center"/>
                </w:tcPr>
                <w:p w14:paraId="0AAB68D2">
                  <w:pPr>
                    <w:adjustRightInd w:val="0"/>
                    <w:snapToGrid w:val="0"/>
                    <w:spacing w:line="240" w:lineRule="auto"/>
                    <w:ind w:firstLine="0" w:firstLineChars="0"/>
                    <w:jc w:val="center"/>
                    <w:rPr>
                      <w:rFonts w:hint="eastAsia" w:eastAsia="宋体"/>
                      <w:bCs/>
                      <w:sz w:val="21"/>
                      <w:szCs w:val="21"/>
                      <w:lang w:eastAsia="zh-CN"/>
                    </w:rPr>
                  </w:pPr>
                  <w:r>
                    <w:rPr>
                      <w:rFonts w:hint="eastAsia"/>
                      <w:bCs/>
                      <w:sz w:val="21"/>
                      <w:szCs w:val="21"/>
                      <w:lang w:val="en-US" w:eastAsia="zh-CN"/>
                    </w:rPr>
                    <w:t>布袋除尘器</w:t>
                  </w:r>
                </w:p>
              </w:tc>
              <w:tc>
                <w:tcPr>
                  <w:tcW w:w="650" w:type="dxa"/>
                  <w:vAlign w:val="center"/>
                </w:tcPr>
                <w:p w14:paraId="162079EA">
                  <w:pPr>
                    <w:adjustRightInd w:val="0"/>
                    <w:snapToGrid w:val="0"/>
                    <w:spacing w:line="240" w:lineRule="auto"/>
                    <w:ind w:firstLine="0" w:firstLineChars="0"/>
                    <w:jc w:val="center"/>
                    <w:rPr>
                      <w:rFonts w:hint="eastAsia" w:eastAsia="宋体"/>
                      <w:bCs/>
                      <w:sz w:val="21"/>
                      <w:szCs w:val="21"/>
                      <w:lang w:eastAsia="zh-CN"/>
                    </w:rPr>
                  </w:pPr>
                  <w:r>
                    <w:rPr>
                      <w:rFonts w:hint="eastAsia"/>
                      <w:bCs/>
                      <w:sz w:val="21"/>
                      <w:szCs w:val="21"/>
                      <w:lang w:val="en-US" w:eastAsia="zh-CN"/>
                    </w:rPr>
                    <w:t>颗粒物</w:t>
                  </w:r>
                </w:p>
              </w:tc>
              <w:tc>
                <w:tcPr>
                  <w:tcW w:w="1668" w:type="dxa"/>
                  <w:vAlign w:val="center"/>
                </w:tcPr>
                <w:p w14:paraId="3C38EE35">
                  <w:pPr>
                    <w:adjustRightInd w:val="0"/>
                    <w:snapToGrid w:val="0"/>
                    <w:spacing w:line="240" w:lineRule="auto"/>
                    <w:ind w:firstLine="0" w:firstLineChars="0"/>
                    <w:jc w:val="center"/>
                    <w:rPr>
                      <w:bCs/>
                      <w:sz w:val="21"/>
                      <w:szCs w:val="21"/>
                    </w:rPr>
                  </w:pPr>
                  <w:r>
                    <w:rPr>
                      <w:bCs/>
                      <w:sz w:val="21"/>
                      <w:szCs w:val="21"/>
                    </w:rPr>
                    <w:t>23°18'</w:t>
                  </w:r>
                  <w:r>
                    <w:rPr>
                      <w:rFonts w:hint="eastAsia"/>
                      <w:bCs/>
                      <w:sz w:val="21"/>
                      <w:szCs w:val="21"/>
                      <w:lang w:val="en-US" w:eastAsia="zh-CN"/>
                    </w:rPr>
                    <w:t>14</w:t>
                  </w:r>
                  <w:r>
                    <w:rPr>
                      <w:bCs/>
                      <w:sz w:val="21"/>
                      <w:szCs w:val="21"/>
                    </w:rPr>
                    <w:t>.38</w:t>
                  </w:r>
                  <w:r>
                    <w:rPr>
                      <w:rFonts w:hint="eastAsia"/>
                      <w:bCs/>
                      <w:sz w:val="21"/>
                      <w:szCs w:val="21"/>
                      <w:lang w:val="en-US" w:eastAsia="zh-CN"/>
                    </w:rPr>
                    <w:t>2</w:t>
                  </w:r>
                  <w:r>
                    <w:rPr>
                      <w:bCs/>
                      <w:sz w:val="21"/>
                      <w:szCs w:val="21"/>
                    </w:rPr>
                    <w:t>"N</w:t>
                  </w:r>
                </w:p>
                <w:p w14:paraId="3B8B3979">
                  <w:pPr>
                    <w:adjustRightInd w:val="0"/>
                    <w:snapToGrid w:val="0"/>
                    <w:spacing w:line="240" w:lineRule="auto"/>
                    <w:ind w:firstLine="0" w:firstLineChars="0"/>
                    <w:jc w:val="center"/>
                    <w:rPr>
                      <w:bCs/>
                      <w:sz w:val="21"/>
                      <w:szCs w:val="21"/>
                    </w:rPr>
                  </w:pPr>
                  <w:r>
                    <w:rPr>
                      <w:bCs/>
                      <w:sz w:val="21"/>
                      <w:szCs w:val="21"/>
                    </w:rPr>
                    <w:t>116°26'</w:t>
                  </w:r>
                  <w:r>
                    <w:rPr>
                      <w:rFonts w:hint="eastAsia"/>
                      <w:bCs/>
                      <w:sz w:val="21"/>
                      <w:szCs w:val="21"/>
                      <w:lang w:val="en-US" w:eastAsia="zh-CN"/>
                    </w:rPr>
                    <w:t>23</w:t>
                  </w:r>
                  <w:r>
                    <w:rPr>
                      <w:bCs/>
                      <w:sz w:val="21"/>
                      <w:szCs w:val="21"/>
                    </w:rPr>
                    <w:t>.</w:t>
                  </w:r>
                  <w:r>
                    <w:rPr>
                      <w:rFonts w:hint="eastAsia"/>
                      <w:bCs/>
                      <w:sz w:val="21"/>
                      <w:szCs w:val="21"/>
                      <w:lang w:val="en-US" w:eastAsia="zh-CN"/>
                    </w:rPr>
                    <w:t>2</w:t>
                  </w:r>
                  <w:r>
                    <w:rPr>
                      <w:bCs/>
                      <w:sz w:val="21"/>
                      <w:szCs w:val="21"/>
                    </w:rPr>
                    <w:t>91"E</w:t>
                  </w:r>
                </w:p>
              </w:tc>
              <w:tc>
                <w:tcPr>
                  <w:tcW w:w="993" w:type="dxa"/>
                  <w:vAlign w:val="center"/>
                </w:tcPr>
                <w:p w14:paraId="4B4AB980">
                  <w:pPr>
                    <w:adjustRightInd w:val="0"/>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15</w:t>
                  </w:r>
                </w:p>
              </w:tc>
              <w:tc>
                <w:tcPr>
                  <w:tcW w:w="850" w:type="dxa"/>
                  <w:vAlign w:val="center"/>
                </w:tcPr>
                <w:p w14:paraId="3D6D72A1">
                  <w:pPr>
                    <w:adjustRightInd w:val="0"/>
                    <w:snapToGrid w:val="0"/>
                    <w:spacing w:line="240" w:lineRule="auto"/>
                    <w:ind w:firstLine="0" w:firstLineChars="0"/>
                    <w:jc w:val="center"/>
                    <w:rPr>
                      <w:bCs/>
                      <w:sz w:val="21"/>
                      <w:szCs w:val="21"/>
                    </w:rPr>
                  </w:pPr>
                  <w:r>
                    <w:rPr>
                      <w:bCs/>
                      <w:sz w:val="21"/>
                      <w:szCs w:val="21"/>
                    </w:rPr>
                    <w:t>0.3</w:t>
                  </w:r>
                </w:p>
              </w:tc>
              <w:tc>
                <w:tcPr>
                  <w:tcW w:w="992" w:type="dxa"/>
                  <w:vAlign w:val="center"/>
                </w:tcPr>
                <w:p w14:paraId="182746C7">
                  <w:pPr>
                    <w:adjustRightInd w:val="0"/>
                    <w:snapToGrid w:val="0"/>
                    <w:spacing w:line="240" w:lineRule="auto"/>
                    <w:ind w:firstLine="0" w:firstLineChars="0"/>
                    <w:jc w:val="center"/>
                    <w:rPr>
                      <w:bCs/>
                      <w:sz w:val="21"/>
                      <w:szCs w:val="21"/>
                    </w:rPr>
                  </w:pPr>
                  <w:r>
                    <w:rPr>
                      <w:bCs/>
                      <w:sz w:val="21"/>
                      <w:szCs w:val="21"/>
                    </w:rPr>
                    <w:t>15.7</w:t>
                  </w:r>
                </w:p>
              </w:tc>
              <w:tc>
                <w:tcPr>
                  <w:tcW w:w="755" w:type="dxa"/>
                  <w:vAlign w:val="center"/>
                </w:tcPr>
                <w:p w14:paraId="3DB2F907">
                  <w:pPr>
                    <w:adjustRightInd w:val="0"/>
                    <w:snapToGrid w:val="0"/>
                    <w:spacing w:line="240" w:lineRule="auto"/>
                    <w:ind w:firstLine="0" w:firstLineChars="0"/>
                    <w:jc w:val="center"/>
                    <w:rPr>
                      <w:bCs/>
                      <w:sz w:val="21"/>
                      <w:szCs w:val="21"/>
                    </w:rPr>
                  </w:pPr>
                  <w:r>
                    <w:rPr>
                      <w:bCs/>
                      <w:sz w:val="21"/>
                      <w:szCs w:val="21"/>
                    </w:rPr>
                    <w:t>30-60</w:t>
                  </w:r>
                </w:p>
              </w:tc>
              <w:tc>
                <w:tcPr>
                  <w:tcW w:w="674" w:type="dxa"/>
                  <w:vAlign w:val="center"/>
                </w:tcPr>
                <w:p w14:paraId="16917394">
                  <w:pPr>
                    <w:adjustRightInd w:val="0"/>
                    <w:snapToGrid w:val="0"/>
                    <w:spacing w:line="240" w:lineRule="auto"/>
                    <w:ind w:firstLine="0" w:firstLineChars="0"/>
                    <w:jc w:val="center"/>
                    <w:rPr>
                      <w:bCs/>
                      <w:sz w:val="21"/>
                      <w:szCs w:val="21"/>
                    </w:rPr>
                  </w:pPr>
                  <w:r>
                    <w:rPr>
                      <w:bCs/>
                      <w:sz w:val="21"/>
                      <w:szCs w:val="21"/>
                    </w:rPr>
                    <w:t>一般排放口</w:t>
                  </w:r>
                </w:p>
              </w:tc>
            </w:tr>
            <w:tr w14:paraId="6D99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C6D3E87">
                  <w:pPr>
                    <w:adjustRightInd w:val="0"/>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DA002</w:t>
                  </w:r>
                </w:p>
              </w:tc>
              <w:tc>
                <w:tcPr>
                  <w:tcW w:w="962" w:type="dxa"/>
                  <w:vAlign w:val="center"/>
                </w:tcPr>
                <w:p w14:paraId="61E43453">
                  <w:pPr>
                    <w:adjustRightInd w:val="0"/>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二级活性炭吸附装置</w:t>
                  </w:r>
                </w:p>
              </w:tc>
              <w:tc>
                <w:tcPr>
                  <w:tcW w:w="650" w:type="dxa"/>
                  <w:vAlign w:val="center"/>
                </w:tcPr>
                <w:p w14:paraId="4C124441">
                  <w:pPr>
                    <w:adjustRightInd w:val="0"/>
                    <w:snapToGrid w:val="0"/>
                    <w:spacing w:line="240" w:lineRule="auto"/>
                    <w:ind w:firstLine="0" w:firstLineChars="0"/>
                    <w:jc w:val="center"/>
                    <w:rPr>
                      <w:rFonts w:hint="eastAsia" w:eastAsia="宋体"/>
                      <w:bCs/>
                      <w:sz w:val="21"/>
                      <w:szCs w:val="21"/>
                      <w:lang w:val="en-US" w:eastAsia="zh-CN"/>
                    </w:rPr>
                  </w:pPr>
                  <w:r>
                    <w:rPr>
                      <w:rFonts w:hint="eastAsia"/>
                      <w:bCs/>
                      <w:sz w:val="21"/>
                      <w:szCs w:val="21"/>
                      <w:lang w:val="en-US" w:eastAsia="zh-CN"/>
                    </w:rPr>
                    <w:t>非甲烷总烃</w:t>
                  </w:r>
                </w:p>
              </w:tc>
              <w:tc>
                <w:tcPr>
                  <w:tcW w:w="1668" w:type="dxa"/>
                  <w:vAlign w:val="center"/>
                </w:tcPr>
                <w:p w14:paraId="034AE3FE">
                  <w:pPr>
                    <w:adjustRightInd w:val="0"/>
                    <w:snapToGrid w:val="0"/>
                    <w:spacing w:line="240" w:lineRule="auto"/>
                    <w:ind w:firstLine="0" w:firstLineChars="0"/>
                    <w:jc w:val="center"/>
                    <w:rPr>
                      <w:bCs/>
                      <w:sz w:val="21"/>
                      <w:szCs w:val="21"/>
                    </w:rPr>
                  </w:pPr>
                  <w:r>
                    <w:rPr>
                      <w:bCs/>
                      <w:sz w:val="21"/>
                      <w:szCs w:val="21"/>
                    </w:rPr>
                    <w:t>23°18'</w:t>
                  </w:r>
                  <w:r>
                    <w:rPr>
                      <w:rFonts w:hint="eastAsia"/>
                      <w:bCs/>
                      <w:sz w:val="21"/>
                      <w:szCs w:val="21"/>
                      <w:lang w:val="en-US" w:eastAsia="zh-CN"/>
                    </w:rPr>
                    <w:t>13</w:t>
                  </w:r>
                  <w:r>
                    <w:rPr>
                      <w:bCs/>
                      <w:sz w:val="21"/>
                      <w:szCs w:val="21"/>
                    </w:rPr>
                    <w:t>.</w:t>
                  </w:r>
                  <w:r>
                    <w:rPr>
                      <w:rFonts w:hint="eastAsia"/>
                      <w:bCs/>
                      <w:sz w:val="21"/>
                      <w:szCs w:val="21"/>
                      <w:lang w:val="en-US" w:eastAsia="zh-CN"/>
                    </w:rPr>
                    <w:t>152</w:t>
                  </w:r>
                  <w:r>
                    <w:rPr>
                      <w:bCs/>
                      <w:sz w:val="21"/>
                      <w:szCs w:val="21"/>
                    </w:rPr>
                    <w:t>"N</w:t>
                  </w:r>
                </w:p>
                <w:p w14:paraId="4FB01F88">
                  <w:pPr>
                    <w:adjustRightInd w:val="0"/>
                    <w:snapToGrid w:val="0"/>
                    <w:spacing w:line="240" w:lineRule="auto"/>
                    <w:ind w:firstLine="0" w:firstLineChars="0"/>
                    <w:jc w:val="center"/>
                    <w:rPr>
                      <w:bCs/>
                      <w:sz w:val="21"/>
                      <w:szCs w:val="21"/>
                    </w:rPr>
                  </w:pPr>
                  <w:r>
                    <w:rPr>
                      <w:bCs/>
                      <w:sz w:val="21"/>
                      <w:szCs w:val="21"/>
                    </w:rPr>
                    <w:t>116°26'</w:t>
                  </w:r>
                  <w:r>
                    <w:rPr>
                      <w:rFonts w:hint="eastAsia"/>
                      <w:bCs/>
                      <w:sz w:val="21"/>
                      <w:szCs w:val="21"/>
                      <w:lang w:val="en-US" w:eastAsia="zh-CN"/>
                    </w:rPr>
                    <w:t>25</w:t>
                  </w:r>
                  <w:r>
                    <w:rPr>
                      <w:bCs/>
                      <w:sz w:val="21"/>
                      <w:szCs w:val="21"/>
                    </w:rPr>
                    <w:t>.</w:t>
                  </w:r>
                  <w:r>
                    <w:rPr>
                      <w:rFonts w:hint="eastAsia"/>
                      <w:bCs/>
                      <w:sz w:val="21"/>
                      <w:szCs w:val="21"/>
                      <w:lang w:val="en-US" w:eastAsia="zh-CN"/>
                    </w:rPr>
                    <w:t>22</w:t>
                  </w:r>
                  <w:r>
                    <w:rPr>
                      <w:bCs/>
                      <w:sz w:val="21"/>
                      <w:szCs w:val="21"/>
                    </w:rPr>
                    <w:t>1"E</w:t>
                  </w:r>
                </w:p>
              </w:tc>
              <w:tc>
                <w:tcPr>
                  <w:tcW w:w="993" w:type="dxa"/>
                  <w:vAlign w:val="center"/>
                </w:tcPr>
                <w:p w14:paraId="655705FA">
                  <w:pPr>
                    <w:adjustRightInd w:val="0"/>
                    <w:snapToGrid w:val="0"/>
                    <w:spacing w:line="240" w:lineRule="auto"/>
                    <w:ind w:firstLine="0" w:firstLineChars="0"/>
                    <w:jc w:val="center"/>
                    <w:rPr>
                      <w:bCs/>
                      <w:sz w:val="21"/>
                      <w:szCs w:val="21"/>
                    </w:rPr>
                  </w:pPr>
                  <w:r>
                    <w:rPr>
                      <w:rFonts w:hint="eastAsia"/>
                      <w:bCs/>
                      <w:sz w:val="21"/>
                      <w:szCs w:val="21"/>
                      <w:lang w:val="en-US" w:eastAsia="zh-CN"/>
                    </w:rPr>
                    <w:t>15</w:t>
                  </w:r>
                </w:p>
              </w:tc>
              <w:tc>
                <w:tcPr>
                  <w:tcW w:w="850" w:type="dxa"/>
                  <w:vAlign w:val="center"/>
                </w:tcPr>
                <w:p w14:paraId="53978D76">
                  <w:pPr>
                    <w:adjustRightInd w:val="0"/>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0.5</w:t>
                  </w:r>
                </w:p>
              </w:tc>
              <w:tc>
                <w:tcPr>
                  <w:tcW w:w="992" w:type="dxa"/>
                  <w:vAlign w:val="center"/>
                </w:tcPr>
                <w:p w14:paraId="5DAE61C0">
                  <w:pPr>
                    <w:adjustRightInd w:val="0"/>
                    <w:snapToGrid w:val="0"/>
                    <w:spacing w:line="240" w:lineRule="auto"/>
                    <w:ind w:firstLine="0" w:firstLineChars="0"/>
                    <w:jc w:val="center"/>
                    <w:rPr>
                      <w:bCs/>
                      <w:sz w:val="21"/>
                      <w:szCs w:val="21"/>
                    </w:rPr>
                  </w:pPr>
                </w:p>
              </w:tc>
              <w:tc>
                <w:tcPr>
                  <w:tcW w:w="755" w:type="dxa"/>
                  <w:shd w:val="clear" w:color="auto" w:fill="auto"/>
                  <w:vAlign w:val="center"/>
                </w:tcPr>
                <w:p w14:paraId="4B69F6CF">
                  <w:pPr>
                    <w:adjustRightInd w:val="0"/>
                    <w:snapToGrid w:val="0"/>
                    <w:spacing w:line="240" w:lineRule="auto"/>
                    <w:ind w:firstLine="0" w:firstLineChars="0"/>
                    <w:jc w:val="center"/>
                    <w:rPr>
                      <w:rFonts w:ascii="Times New Roman" w:hAnsi="Times New Roman" w:eastAsia="宋体" w:cs="Times New Roman"/>
                      <w:bCs/>
                      <w:kern w:val="2"/>
                      <w:sz w:val="21"/>
                      <w:szCs w:val="21"/>
                      <w:lang w:val="en-US" w:eastAsia="zh-CN" w:bidi="ar-SA"/>
                    </w:rPr>
                  </w:pPr>
                  <w:r>
                    <w:rPr>
                      <w:bCs/>
                      <w:sz w:val="21"/>
                      <w:szCs w:val="21"/>
                    </w:rPr>
                    <w:t>30-60</w:t>
                  </w:r>
                </w:p>
              </w:tc>
              <w:tc>
                <w:tcPr>
                  <w:tcW w:w="674" w:type="dxa"/>
                  <w:vAlign w:val="center"/>
                </w:tcPr>
                <w:p w14:paraId="2D1135D0">
                  <w:pPr>
                    <w:adjustRightInd w:val="0"/>
                    <w:snapToGrid w:val="0"/>
                    <w:spacing w:line="240" w:lineRule="auto"/>
                    <w:ind w:firstLine="0" w:firstLineChars="0"/>
                    <w:jc w:val="center"/>
                    <w:rPr>
                      <w:bCs/>
                      <w:sz w:val="21"/>
                      <w:szCs w:val="21"/>
                    </w:rPr>
                  </w:pPr>
                  <w:r>
                    <w:rPr>
                      <w:bCs/>
                      <w:sz w:val="21"/>
                      <w:szCs w:val="21"/>
                    </w:rPr>
                    <w:t>一般排放口</w:t>
                  </w:r>
                </w:p>
              </w:tc>
            </w:tr>
          </w:tbl>
          <w:p w14:paraId="693E3449">
            <w:pPr>
              <w:spacing w:line="240" w:lineRule="auto"/>
              <w:ind w:firstLine="0" w:firstLineChars="0"/>
              <w:jc w:val="center"/>
              <w:rPr>
                <w:b/>
                <w:bCs/>
                <w:szCs w:val="21"/>
              </w:rPr>
            </w:pPr>
          </w:p>
          <w:p w14:paraId="13640BCC">
            <w:pPr>
              <w:adjustRightInd w:val="0"/>
              <w:snapToGrid w:val="0"/>
              <w:spacing w:line="300" w:lineRule="auto"/>
              <w:ind w:firstLine="520"/>
              <w:rPr>
                <w:rFonts w:hint="default"/>
                <w:b/>
                <w:bCs/>
                <w:spacing w:val="10"/>
                <w:lang w:val="en-US" w:eastAsia="zh-CN"/>
              </w:rPr>
            </w:pPr>
            <w:r>
              <w:rPr>
                <w:rFonts w:hint="eastAsia"/>
                <w:b/>
                <w:bCs/>
                <w:spacing w:val="10"/>
                <w:lang w:val="en-US" w:eastAsia="zh-CN"/>
              </w:rPr>
              <w:t>2、收集及处理效果核定</w:t>
            </w:r>
          </w:p>
          <w:p w14:paraId="4B4AF7A1">
            <w:pPr>
              <w:adjustRightInd w:val="0"/>
              <w:snapToGrid w:val="0"/>
              <w:spacing w:line="300" w:lineRule="auto"/>
              <w:ind w:firstLine="520"/>
              <w:rPr>
                <w:rFonts w:hint="default"/>
                <w:b/>
                <w:bCs/>
                <w:spacing w:val="10"/>
                <w:lang w:val="en-US" w:eastAsia="zh-CN"/>
              </w:rPr>
            </w:pPr>
            <w:r>
              <w:rPr>
                <w:rFonts w:hint="eastAsia"/>
                <w:b/>
                <w:bCs/>
                <w:spacing w:val="10"/>
                <w:lang w:val="en-US" w:eastAsia="zh-CN"/>
              </w:rPr>
              <w:t>（1）粉尘：</w:t>
            </w:r>
          </w:p>
          <w:p w14:paraId="21C3ECD4">
            <w:pPr>
              <w:adjustRightInd w:val="0"/>
              <w:snapToGrid w:val="0"/>
              <w:spacing w:line="300" w:lineRule="auto"/>
              <w:rPr>
                <w:rFonts w:hint="eastAsia"/>
                <w:b w:val="0"/>
                <w:bCs w:val="0"/>
                <w:spacing w:val="10"/>
                <w:lang w:val="en-US" w:eastAsia="zh-CN"/>
              </w:rPr>
            </w:pPr>
            <w:r>
              <w:rPr>
                <w:rFonts w:hint="eastAsia"/>
                <w:b w:val="0"/>
                <w:bCs w:val="0"/>
                <w:spacing w:val="10"/>
                <w:lang w:val="en-US" w:eastAsia="zh-CN"/>
              </w:rPr>
              <w:t>因粉状混合机放气口及进料口位置相近，建设单位在粉状混合机上放投料工作台设置半密闭集气罩收集投料及混合粉尘，下方分装工位上同样设置半密闭集气罩收集分装废气，共设置2个包围型集气罩。</w:t>
            </w:r>
          </w:p>
          <w:p w14:paraId="69146B6D">
            <w:pPr>
              <w:adjustRightInd w:val="0"/>
              <w:snapToGrid w:val="0"/>
              <w:spacing w:line="300" w:lineRule="auto"/>
              <w:ind w:firstLine="520"/>
              <w:rPr>
                <w:rFonts w:hint="eastAsia"/>
                <w:b w:val="0"/>
                <w:bCs w:val="0"/>
                <w:spacing w:val="10"/>
                <w:lang w:val="en-US" w:eastAsia="zh-CN"/>
              </w:rPr>
            </w:pPr>
            <w:r>
              <w:rPr>
                <w:rFonts w:hint="eastAsia"/>
                <w:b w:val="0"/>
                <w:bCs w:val="0"/>
                <w:spacing w:val="10"/>
                <w:lang w:val="en-US" w:eastAsia="zh-CN"/>
              </w:rPr>
              <w:t>集气罩风量依据《三废处理工程技术手册废气卷》（化学工业出版社），上部伞形罩三侧有围挡时的风量计算公式如下：</w:t>
            </w:r>
          </w:p>
          <w:p w14:paraId="21368028">
            <w:pPr>
              <w:adjustRightInd w:val="0"/>
              <w:snapToGrid w:val="0"/>
              <w:spacing w:line="300" w:lineRule="auto"/>
              <w:jc w:val="center"/>
              <w:rPr>
                <w:rFonts w:hint="eastAsia"/>
                <w:b w:val="0"/>
                <w:bCs w:val="0"/>
                <w:spacing w:val="10"/>
                <w:lang w:val="en-US" w:eastAsia="zh-CN"/>
              </w:rPr>
            </w:pPr>
            <w:r>
              <w:rPr>
                <w:rFonts w:hint="eastAsia"/>
                <w:b w:val="0"/>
                <w:bCs w:val="0"/>
                <w:spacing w:val="10"/>
                <w:lang w:val="en-US" w:eastAsia="zh-CN"/>
              </w:rPr>
              <w:t>Q=WHVx</w:t>
            </w:r>
          </w:p>
          <w:p w14:paraId="7BFA1E31">
            <w:pPr>
              <w:adjustRightInd w:val="0"/>
              <w:snapToGrid w:val="0"/>
              <w:spacing w:line="300" w:lineRule="auto"/>
              <w:ind w:firstLine="520"/>
              <w:rPr>
                <w:rFonts w:hint="eastAsia"/>
                <w:b w:val="0"/>
                <w:bCs w:val="0"/>
                <w:spacing w:val="10"/>
                <w:lang w:val="en-US" w:eastAsia="zh-CN"/>
              </w:rPr>
            </w:pPr>
            <w:r>
              <w:rPr>
                <w:rFonts w:hint="eastAsia"/>
                <w:b w:val="0"/>
                <w:bCs w:val="0"/>
                <w:spacing w:val="10"/>
                <w:lang w:val="en-US" w:eastAsia="zh-CN"/>
              </w:rPr>
              <w:t>式中：</w:t>
            </w:r>
            <w:r>
              <w:rPr>
                <w:rFonts w:hint="default"/>
                <w:b w:val="0"/>
                <w:bCs w:val="0"/>
                <w:spacing w:val="10"/>
                <w:lang w:val="en-US" w:eastAsia="zh-CN"/>
              </w:rPr>
              <w:t>Q——</w:t>
            </w:r>
            <w:r>
              <w:rPr>
                <w:rFonts w:hint="eastAsia"/>
                <w:b w:val="0"/>
                <w:bCs w:val="0"/>
                <w:spacing w:val="10"/>
                <w:lang w:val="en-US" w:eastAsia="zh-CN"/>
              </w:rPr>
              <w:t>风量，</w:t>
            </w:r>
            <w:r>
              <w:rPr>
                <w:rFonts w:hint="default"/>
                <w:b w:val="0"/>
                <w:bCs w:val="0"/>
                <w:spacing w:val="10"/>
                <w:lang w:val="en-US" w:eastAsia="zh-CN"/>
              </w:rPr>
              <w:t>m</w:t>
            </w:r>
            <w:r>
              <w:rPr>
                <w:rFonts w:hint="default"/>
                <w:b w:val="0"/>
                <w:bCs w:val="0"/>
                <w:spacing w:val="10"/>
                <w:vertAlign w:val="superscript"/>
                <w:lang w:val="en-US" w:eastAsia="zh-CN"/>
              </w:rPr>
              <w:t>3</w:t>
            </w:r>
            <w:r>
              <w:rPr>
                <w:rFonts w:hint="default"/>
                <w:b w:val="0"/>
                <w:bCs w:val="0"/>
                <w:spacing w:val="10"/>
                <w:lang w:val="en-US" w:eastAsia="zh-CN"/>
              </w:rPr>
              <w:t xml:space="preserve"> /s</w:t>
            </w:r>
            <w:r>
              <w:rPr>
                <w:rFonts w:hint="eastAsia"/>
                <w:b w:val="0"/>
                <w:bCs w:val="0"/>
                <w:spacing w:val="10"/>
                <w:lang w:val="en-US" w:eastAsia="zh-CN"/>
              </w:rPr>
              <w:t>；</w:t>
            </w:r>
          </w:p>
          <w:p w14:paraId="4EB30652">
            <w:pPr>
              <w:adjustRightInd w:val="0"/>
              <w:snapToGrid w:val="0"/>
              <w:spacing w:line="300" w:lineRule="auto"/>
              <w:ind w:firstLine="520"/>
              <w:rPr>
                <w:rFonts w:hint="eastAsia"/>
                <w:b w:val="0"/>
                <w:bCs w:val="0"/>
                <w:spacing w:val="10"/>
                <w:lang w:val="en-US" w:eastAsia="zh-CN"/>
              </w:rPr>
            </w:pPr>
            <w:r>
              <w:rPr>
                <w:rFonts w:hint="default"/>
                <w:b w:val="0"/>
                <w:bCs w:val="0"/>
                <w:spacing w:val="10"/>
                <w:lang w:val="en-US" w:eastAsia="zh-CN"/>
              </w:rPr>
              <w:t>W——</w:t>
            </w:r>
            <w:r>
              <w:rPr>
                <w:rFonts w:hint="eastAsia"/>
                <w:b w:val="0"/>
                <w:bCs w:val="0"/>
                <w:spacing w:val="10"/>
                <w:lang w:val="en-US" w:eastAsia="zh-CN"/>
              </w:rPr>
              <w:t>罩口长度，</w:t>
            </w:r>
            <w:r>
              <w:rPr>
                <w:rFonts w:hint="default"/>
                <w:b w:val="0"/>
                <w:bCs w:val="0"/>
                <w:spacing w:val="10"/>
                <w:lang w:val="en-US" w:eastAsia="zh-CN"/>
              </w:rPr>
              <w:t>m</w:t>
            </w:r>
            <w:r>
              <w:rPr>
                <w:rFonts w:hint="eastAsia"/>
                <w:b w:val="0"/>
                <w:bCs w:val="0"/>
                <w:spacing w:val="10"/>
                <w:lang w:val="en-US" w:eastAsia="zh-CN"/>
              </w:rPr>
              <w:t xml:space="preserve">，本次评价取1.5m； </w:t>
            </w:r>
          </w:p>
          <w:p w14:paraId="1AD56D11">
            <w:pPr>
              <w:adjustRightInd w:val="0"/>
              <w:snapToGrid w:val="0"/>
              <w:spacing w:line="300" w:lineRule="auto"/>
              <w:ind w:firstLine="520"/>
              <w:rPr>
                <w:rFonts w:hint="eastAsia"/>
                <w:b w:val="0"/>
                <w:bCs w:val="0"/>
                <w:spacing w:val="10"/>
                <w:lang w:val="en-US" w:eastAsia="zh-CN"/>
              </w:rPr>
            </w:pPr>
            <w:r>
              <w:rPr>
                <w:rFonts w:hint="default"/>
                <w:b w:val="0"/>
                <w:bCs w:val="0"/>
                <w:spacing w:val="10"/>
                <w:lang w:val="en-US" w:eastAsia="zh-CN"/>
              </w:rPr>
              <w:t>H——</w:t>
            </w:r>
            <w:r>
              <w:rPr>
                <w:rFonts w:hint="eastAsia"/>
                <w:b w:val="0"/>
                <w:bCs w:val="0"/>
                <w:spacing w:val="10"/>
                <w:lang w:val="en-US" w:eastAsia="zh-CN"/>
              </w:rPr>
              <w:t>污染源至罩口距离，</w:t>
            </w:r>
            <w:r>
              <w:rPr>
                <w:rFonts w:hint="default"/>
                <w:b w:val="0"/>
                <w:bCs w:val="0"/>
                <w:spacing w:val="10"/>
                <w:lang w:val="en-US" w:eastAsia="zh-CN"/>
              </w:rPr>
              <w:t>m</w:t>
            </w:r>
            <w:r>
              <w:rPr>
                <w:rFonts w:hint="eastAsia"/>
                <w:b w:val="0"/>
                <w:bCs w:val="0"/>
                <w:spacing w:val="10"/>
                <w:lang w:val="en-US" w:eastAsia="zh-CN"/>
              </w:rPr>
              <w:t xml:space="preserve">，本次评价取0.5m； </w:t>
            </w:r>
          </w:p>
          <w:p w14:paraId="6DC52FC8">
            <w:pPr>
              <w:adjustRightInd w:val="0"/>
              <w:snapToGrid w:val="0"/>
              <w:spacing w:line="300" w:lineRule="auto"/>
              <w:ind w:firstLine="520"/>
              <w:rPr>
                <w:rFonts w:hint="eastAsia"/>
                <w:b w:val="0"/>
                <w:bCs w:val="0"/>
                <w:spacing w:val="10"/>
                <w:lang w:val="en-US" w:eastAsia="zh-CN"/>
              </w:rPr>
            </w:pPr>
            <w:r>
              <w:rPr>
                <w:rFonts w:hint="default"/>
                <w:b w:val="0"/>
                <w:bCs w:val="0"/>
                <w:spacing w:val="10"/>
                <w:lang w:val="en-US" w:eastAsia="zh-CN"/>
              </w:rPr>
              <w:t>Vx——</w:t>
            </w:r>
            <w:r>
              <w:rPr>
                <w:rFonts w:hint="eastAsia"/>
                <w:b w:val="0"/>
                <w:bCs w:val="0"/>
                <w:spacing w:val="10"/>
                <w:lang w:val="en-US" w:eastAsia="zh-CN"/>
              </w:rPr>
              <w:t>空气吸入风速，</w:t>
            </w:r>
            <w:r>
              <w:rPr>
                <w:rFonts w:hint="default"/>
                <w:b w:val="0"/>
                <w:bCs w:val="0"/>
                <w:spacing w:val="10"/>
                <w:lang w:val="en-US" w:eastAsia="zh-CN"/>
              </w:rPr>
              <w:t>Vx=0.25~2.5m/s</w:t>
            </w:r>
            <w:r>
              <w:rPr>
                <w:rFonts w:hint="eastAsia"/>
                <w:b w:val="0"/>
                <w:bCs w:val="0"/>
                <w:spacing w:val="10"/>
                <w:lang w:val="en-US" w:eastAsia="zh-CN"/>
              </w:rPr>
              <w:t>，本次评价取0.5m/s。</w:t>
            </w:r>
          </w:p>
          <w:p w14:paraId="6FC30B52">
            <w:pPr>
              <w:adjustRightInd w:val="0"/>
              <w:snapToGrid w:val="0"/>
              <w:spacing w:line="300" w:lineRule="auto"/>
              <w:ind w:firstLine="520"/>
              <w:rPr>
                <w:rFonts w:hint="default"/>
                <w:b w:val="0"/>
                <w:bCs w:val="0"/>
                <w:spacing w:val="10"/>
                <w:lang w:val="en-US" w:eastAsia="zh-CN"/>
              </w:rPr>
            </w:pPr>
            <w:r>
              <w:rPr>
                <w:rFonts w:hint="eastAsia"/>
                <w:b w:val="0"/>
                <w:bCs w:val="0"/>
                <w:spacing w:val="10"/>
                <w:lang w:val="en-US" w:eastAsia="zh-CN"/>
              </w:rPr>
              <w:t>则每个集气罩设计风量1350m</w:t>
            </w:r>
            <w:r>
              <w:rPr>
                <w:rFonts w:hint="eastAsia"/>
                <w:b w:val="0"/>
                <w:bCs w:val="0"/>
                <w:spacing w:val="10"/>
                <w:vertAlign w:val="superscript"/>
                <w:lang w:val="en-US" w:eastAsia="zh-CN"/>
              </w:rPr>
              <w:t>3</w:t>
            </w:r>
            <w:r>
              <w:rPr>
                <w:rFonts w:hint="eastAsia"/>
                <w:b w:val="0"/>
                <w:bCs w:val="0"/>
                <w:spacing w:val="10"/>
                <w:lang w:val="en-US" w:eastAsia="zh-CN"/>
              </w:rPr>
              <w:t>/h，本项目共设置2个包围型集气罩，总风量2700m</w:t>
            </w:r>
            <w:r>
              <w:rPr>
                <w:rFonts w:hint="eastAsia"/>
                <w:b w:val="0"/>
                <w:bCs w:val="0"/>
                <w:spacing w:val="10"/>
                <w:vertAlign w:val="superscript"/>
                <w:lang w:val="en-US" w:eastAsia="zh-CN"/>
              </w:rPr>
              <w:t>3</w:t>
            </w:r>
            <w:r>
              <w:rPr>
                <w:rFonts w:hint="eastAsia"/>
                <w:b w:val="0"/>
                <w:bCs w:val="0"/>
                <w:spacing w:val="10"/>
                <w:lang w:val="en-US" w:eastAsia="zh-CN"/>
              </w:rPr>
              <w:t>/h，考虑风量损失，本次评价取3000m</w:t>
            </w:r>
            <w:r>
              <w:rPr>
                <w:rFonts w:hint="eastAsia"/>
                <w:b w:val="0"/>
                <w:bCs w:val="0"/>
                <w:spacing w:val="10"/>
                <w:vertAlign w:val="superscript"/>
                <w:lang w:val="en-US" w:eastAsia="zh-CN"/>
              </w:rPr>
              <w:t>3</w:t>
            </w:r>
            <w:r>
              <w:rPr>
                <w:rFonts w:hint="eastAsia"/>
                <w:b w:val="0"/>
                <w:bCs w:val="0"/>
                <w:spacing w:val="10"/>
                <w:lang w:val="en-US" w:eastAsia="zh-CN"/>
              </w:rPr>
              <w:t>/h。</w:t>
            </w:r>
          </w:p>
          <w:p w14:paraId="3AE15142">
            <w:pPr>
              <w:adjustRightInd w:val="0"/>
              <w:snapToGrid w:val="0"/>
              <w:spacing w:line="300" w:lineRule="auto"/>
              <w:ind w:firstLine="520"/>
              <w:rPr>
                <w:rFonts w:hint="default"/>
                <w:b w:val="0"/>
                <w:bCs w:val="0"/>
                <w:spacing w:val="10"/>
                <w:lang w:val="en-US" w:eastAsia="zh-CN"/>
              </w:rPr>
            </w:pPr>
            <w:r>
              <w:rPr>
                <w:rFonts w:hint="eastAsia"/>
                <w:b w:val="0"/>
                <w:bCs w:val="0"/>
                <w:spacing w:val="10"/>
                <w:lang w:val="en-US" w:eastAsia="zh-CN"/>
              </w:rPr>
              <w:t>根据《广东省工业源挥发性有机物减排量核算方法（2023年修订版）》中表3.3-2 废气收集集气效率参考值，半密闭型集气罩且收集风速不小于0.3m/s,收集效率65%，本次评价取65%。具体产排污情况见表4-1。</w:t>
            </w:r>
          </w:p>
          <w:p w14:paraId="57F102A9">
            <w:pPr>
              <w:numPr>
                <w:ilvl w:val="0"/>
                <w:numId w:val="0"/>
              </w:numPr>
              <w:adjustRightInd w:val="0"/>
              <w:snapToGrid w:val="0"/>
              <w:spacing w:line="300" w:lineRule="auto"/>
              <w:ind w:firstLine="520" w:firstLineChars="200"/>
              <w:rPr>
                <w:rFonts w:hint="eastAsia"/>
                <w:b/>
                <w:bCs/>
                <w:spacing w:val="10"/>
                <w:lang w:val="en-US" w:eastAsia="zh-CN"/>
              </w:rPr>
            </w:pPr>
            <w:r>
              <w:rPr>
                <w:rFonts w:hint="eastAsia"/>
                <w:b w:val="0"/>
                <w:bCs w:val="0"/>
                <w:spacing w:val="10"/>
                <w:lang w:val="en-US" w:eastAsia="zh-CN"/>
              </w:rPr>
              <w:t>②</w:t>
            </w:r>
            <w:r>
              <w:rPr>
                <w:rFonts w:hint="eastAsia"/>
                <w:b/>
                <w:bCs/>
                <w:spacing w:val="10"/>
                <w:lang w:val="en-US" w:eastAsia="zh-CN"/>
              </w:rPr>
              <w:t>有机废气收集情况</w:t>
            </w:r>
          </w:p>
          <w:p w14:paraId="5E7C96B6">
            <w:pPr>
              <w:numPr>
                <w:ilvl w:val="0"/>
                <w:numId w:val="0"/>
              </w:numPr>
              <w:adjustRightInd w:val="0"/>
              <w:snapToGrid w:val="0"/>
              <w:spacing w:line="300" w:lineRule="auto"/>
              <w:ind w:firstLine="520" w:firstLineChars="200"/>
              <w:rPr>
                <w:rFonts w:hint="default"/>
                <w:spacing w:val="10"/>
                <w:lang w:val="en-US" w:eastAsia="zh-CN"/>
              </w:rPr>
            </w:pPr>
            <w:r>
              <w:rPr>
                <w:rFonts w:hint="eastAsia"/>
                <w:b w:val="0"/>
                <w:bCs w:val="0"/>
                <w:spacing w:val="10"/>
                <w:lang w:val="en-US" w:eastAsia="zh-CN"/>
              </w:rPr>
              <w:t>本项目有机助剂（纺织油剂、柔软剂、除油剂）搅</w:t>
            </w:r>
            <w:r>
              <w:rPr>
                <w:rFonts w:hint="eastAsia"/>
                <w:spacing w:val="10"/>
                <w:lang w:val="en-US" w:eastAsia="zh-CN"/>
              </w:rPr>
              <w:t>拌过程产生的大部分有机废气通过搅拌罐出气口直连废气处理设施进行收集，通过在各分装工位设置集气罩进一步收集残留有机废气。</w:t>
            </w:r>
          </w:p>
          <w:p w14:paraId="0B0EAAEF">
            <w:pPr>
              <w:adjustRightInd w:val="0"/>
              <w:snapToGrid w:val="0"/>
              <w:spacing w:line="300" w:lineRule="auto"/>
              <w:ind w:left="0" w:leftChars="0" w:firstLine="520" w:firstLineChars="200"/>
              <w:rPr>
                <w:rFonts w:hint="eastAsia"/>
                <w:spacing w:val="10"/>
                <w:lang w:val="en-US" w:eastAsia="zh-CN"/>
              </w:rPr>
            </w:pPr>
            <w:r>
              <w:rPr>
                <w:rFonts w:hint="eastAsia"/>
                <w:spacing w:val="10"/>
                <w:lang w:val="en-US" w:eastAsia="zh-CN"/>
              </w:rPr>
              <w:t>本项目搅拌罐出气口设置密闭管连接废气处理设施，密闭管直径75mm，风速按0.5m/s计，满负荷工作状况下共13个搅拌罐同时工作，则理论风量1033m</w:t>
            </w:r>
            <w:r>
              <w:rPr>
                <w:rFonts w:hint="eastAsia"/>
                <w:spacing w:val="10"/>
                <w:vertAlign w:val="superscript"/>
                <w:lang w:val="en-US" w:eastAsia="zh-CN"/>
              </w:rPr>
              <w:t>3</w:t>
            </w:r>
            <w:r>
              <w:rPr>
                <w:rFonts w:hint="eastAsia"/>
                <w:spacing w:val="10"/>
                <w:lang w:val="en-US" w:eastAsia="zh-CN"/>
              </w:rPr>
              <w:t>/h。</w:t>
            </w:r>
          </w:p>
          <w:p w14:paraId="7C8F2E51">
            <w:pPr>
              <w:adjustRightInd w:val="0"/>
              <w:snapToGrid w:val="0"/>
              <w:spacing w:line="300" w:lineRule="auto"/>
              <w:ind w:firstLine="520"/>
              <w:rPr>
                <w:rFonts w:hint="eastAsia"/>
                <w:b w:val="0"/>
                <w:bCs w:val="0"/>
                <w:spacing w:val="10"/>
                <w:lang w:val="en-US" w:eastAsia="zh-CN"/>
              </w:rPr>
            </w:pPr>
            <w:r>
              <w:rPr>
                <w:rFonts w:hint="eastAsia"/>
                <w:b w:val="0"/>
                <w:bCs w:val="0"/>
                <w:spacing w:val="10"/>
                <w:lang w:val="en-US" w:eastAsia="zh-CN"/>
              </w:rPr>
              <w:t>分装工位集气罩风量依据《三废处理工程技术手册废气卷》（化学工业出版社），上部伞形罩三侧有围挡时的风量计算公式如下：</w:t>
            </w:r>
          </w:p>
          <w:p w14:paraId="26CDAB69">
            <w:pPr>
              <w:adjustRightInd w:val="0"/>
              <w:snapToGrid w:val="0"/>
              <w:spacing w:line="300" w:lineRule="auto"/>
              <w:jc w:val="center"/>
              <w:rPr>
                <w:rFonts w:hint="eastAsia"/>
                <w:b w:val="0"/>
                <w:bCs w:val="0"/>
                <w:spacing w:val="10"/>
                <w:lang w:val="en-US" w:eastAsia="zh-CN"/>
              </w:rPr>
            </w:pPr>
            <w:r>
              <w:rPr>
                <w:rFonts w:hint="eastAsia"/>
                <w:b w:val="0"/>
                <w:bCs w:val="0"/>
                <w:spacing w:val="10"/>
                <w:lang w:val="en-US" w:eastAsia="zh-CN"/>
              </w:rPr>
              <w:t>Q=WHVx</w:t>
            </w:r>
          </w:p>
          <w:p w14:paraId="7742770B">
            <w:pPr>
              <w:adjustRightInd w:val="0"/>
              <w:snapToGrid w:val="0"/>
              <w:spacing w:line="300" w:lineRule="auto"/>
              <w:ind w:firstLine="520"/>
              <w:rPr>
                <w:rFonts w:hint="eastAsia"/>
                <w:b w:val="0"/>
                <w:bCs w:val="0"/>
                <w:spacing w:val="10"/>
                <w:lang w:val="en-US" w:eastAsia="zh-CN"/>
              </w:rPr>
            </w:pPr>
            <w:r>
              <w:rPr>
                <w:rFonts w:hint="eastAsia"/>
                <w:b w:val="0"/>
                <w:bCs w:val="0"/>
                <w:spacing w:val="10"/>
                <w:lang w:val="en-US" w:eastAsia="zh-CN"/>
              </w:rPr>
              <w:t>式中：</w:t>
            </w:r>
            <w:r>
              <w:rPr>
                <w:rFonts w:hint="default"/>
                <w:b w:val="0"/>
                <w:bCs w:val="0"/>
                <w:spacing w:val="10"/>
                <w:lang w:val="en-US" w:eastAsia="zh-CN"/>
              </w:rPr>
              <w:t>Q——</w:t>
            </w:r>
            <w:r>
              <w:rPr>
                <w:rFonts w:hint="eastAsia"/>
                <w:b w:val="0"/>
                <w:bCs w:val="0"/>
                <w:spacing w:val="10"/>
                <w:lang w:val="en-US" w:eastAsia="zh-CN"/>
              </w:rPr>
              <w:t>风量，</w:t>
            </w:r>
            <w:r>
              <w:rPr>
                <w:rFonts w:hint="default"/>
                <w:b w:val="0"/>
                <w:bCs w:val="0"/>
                <w:spacing w:val="10"/>
                <w:lang w:val="en-US" w:eastAsia="zh-CN"/>
              </w:rPr>
              <w:t>m</w:t>
            </w:r>
            <w:r>
              <w:rPr>
                <w:rFonts w:hint="default"/>
                <w:b w:val="0"/>
                <w:bCs w:val="0"/>
                <w:spacing w:val="10"/>
                <w:vertAlign w:val="superscript"/>
                <w:lang w:val="en-US" w:eastAsia="zh-CN"/>
              </w:rPr>
              <w:t>3</w:t>
            </w:r>
            <w:r>
              <w:rPr>
                <w:rFonts w:hint="default"/>
                <w:b w:val="0"/>
                <w:bCs w:val="0"/>
                <w:spacing w:val="10"/>
                <w:lang w:val="en-US" w:eastAsia="zh-CN"/>
              </w:rPr>
              <w:t xml:space="preserve"> /s</w:t>
            </w:r>
            <w:r>
              <w:rPr>
                <w:rFonts w:hint="eastAsia"/>
                <w:b w:val="0"/>
                <w:bCs w:val="0"/>
                <w:spacing w:val="10"/>
                <w:lang w:val="en-US" w:eastAsia="zh-CN"/>
              </w:rPr>
              <w:t>；</w:t>
            </w:r>
          </w:p>
          <w:p w14:paraId="281640F0">
            <w:pPr>
              <w:adjustRightInd w:val="0"/>
              <w:snapToGrid w:val="0"/>
              <w:spacing w:line="300" w:lineRule="auto"/>
              <w:ind w:firstLine="520"/>
              <w:rPr>
                <w:rFonts w:hint="eastAsia"/>
                <w:b w:val="0"/>
                <w:bCs w:val="0"/>
                <w:spacing w:val="10"/>
                <w:lang w:val="en-US" w:eastAsia="zh-CN"/>
              </w:rPr>
            </w:pPr>
            <w:r>
              <w:rPr>
                <w:rFonts w:hint="default"/>
                <w:b w:val="0"/>
                <w:bCs w:val="0"/>
                <w:spacing w:val="10"/>
                <w:lang w:val="en-US" w:eastAsia="zh-CN"/>
              </w:rPr>
              <w:t>W——</w:t>
            </w:r>
            <w:r>
              <w:rPr>
                <w:rFonts w:hint="eastAsia"/>
                <w:b w:val="0"/>
                <w:bCs w:val="0"/>
                <w:spacing w:val="10"/>
                <w:lang w:val="en-US" w:eastAsia="zh-CN"/>
              </w:rPr>
              <w:t>罩口长度，</w:t>
            </w:r>
            <w:r>
              <w:rPr>
                <w:rFonts w:hint="default"/>
                <w:b w:val="0"/>
                <w:bCs w:val="0"/>
                <w:spacing w:val="10"/>
                <w:lang w:val="en-US" w:eastAsia="zh-CN"/>
              </w:rPr>
              <w:t>m</w:t>
            </w:r>
            <w:r>
              <w:rPr>
                <w:rFonts w:hint="eastAsia"/>
                <w:b w:val="0"/>
                <w:bCs w:val="0"/>
                <w:spacing w:val="10"/>
                <w:lang w:val="en-US" w:eastAsia="zh-CN"/>
              </w:rPr>
              <w:t xml:space="preserve">，本次评价取1.5m； </w:t>
            </w:r>
          </w:p>
          <w:p w14:paraId="6B9019A0">
            <w:pPr>
              <w:adjustRightInd w:val="0"/>
              <w:snapToGrid w:val="0"/>
              <w:spacing w:line="300" w:lineRule="auto"/>
              <w:ind w:firstLine="520"/>
              <w:rPr>
                <w:rFonts w:hint="eastAsia"/>
                <w:b w:val="0"/>
                <w:bCs w:val="0"/>
                <w:spacing w:val="10"/>
                <w:lang w:val="en-US" w:eastAsia="zh-CN"/>
              </w:rPr>
            </w:pPr>
            <w:r>
              <w:rPr>
                <w:rFonts w:hint="default"/>
                <w:b w:val="0"/>
                <w:bCs w:val="0"/>
                <w:spacing w:val="10"/>
                <w:lang w:val="en-US" w:eastAsia="zh-CN"/>
              </w:rPr>
              <w:t>H——</w:t>
            </w:r>
            <w:r>
              <w:rPr>
                <w:rFonts w:hint="eastAsia"/>
                <w:b w:val="0"/>
                <w:bCs w:val="0"/>
                <w:spacing w:val="10"/>
                <w:lang w:val="en-US" w:eastAsia="zh-CN"/>
              </w:rPr>
              <w:t>污染源至罩口距离，</w:t>
            </w:r>
            <w:r>
              <w:rPr>
                <w:rFonts w:hint="default"/>
                <w:b w:val="0"/>
                <w:bCs w:val="0"/>
                <w:spacing w:val="10"/>
                <w:lang w:val="en-US" w:eastAsia="zh-CN"/>
              </w:rPr>
              <w:t>m</w:t>
            </w:r>
            <w:r>
              <w:rPr>
                <w:rFonts w:hint="eastAsia"/>
                <w:b w:val="0"/>
                <w:bCs w:val="0"/>
                <w:spacing w:val="10"/>
                <w:lang w:val="en-US" w:eastAsia="zh-CN"/>
              </w:rPr>
              <w:t xml:space="preserve">，本次评价取0.5m； </w:t>
            </w:r>
          </w:p>
          <w:p w14:paraId="1DE56B7C">
            <w:pPr>
              <w:adjustRightInd w:val="0"/>
              <w:snapToGrid w:val="0"/>
              <w:spacing w:line="300" w:lineRule="auto"/>
              <w:ind w:firstLine="520"/>
              <w:rPr>
                <w:rFonts w:hint="eastAsia"/>
                <w:b w:val="0"/>
                <w:bCs w:val="0"/>
                <w:spacing w:val="10"/>
                <w:lang w:val="en-US" w:eastAsia="zh-CN"/>
              </w:rPr>
            </w:pPr>
            <w:r>
              <w:rPr>
                <w:rFonts w:hint="default"/>
                <w:b w:val="0"/>
                <w:bCs w:val="0"/>
                <w:spacing w:val="10"/>
                <w:lang w:val="en-US" w:eastAsia="zh-CN"/>
              </w:rPr>
              <w:t>Vx——</w:t>
            </w:r>
            <w:r>
              <w:rPr>
                <w:rFonts w:hint="eastAsia"/>
                <w:b w:val="0"/>
                <w:bCs w:val="0"/>
                <w:spacing w:val="10"/>
                <w:lang w:val="en-US" w:eastAsia="zh-CN"/>
              </w:rPr>
              <w:t>空气吸入风速，</w:t>
            </w:r>
            <w:r>
              <w:rPr>
                <w:rFonts w:hint="default"/>
                <w:b w:val="0"/>
                <w:bCs w:val="0"/>
                <w:spacing w:val="10"/>
                <w:lang w:val="en-US" w:eastAsia="zh-CN"/>
              </w:rPr>
              <w:t>Vx=0.25~2.5m/s</w:t>
            </w:r>
            <w:r>
              <w:rPr>
                <w:rFonts w:hint="eastAsia"/>
                <w:b w:val="0"/>
                <w:bCs w:val="0"/>
                <w:spacing w:val="10"/>
                <w:lang w:val="en-US" w:eastAsia="zh-CN"/>
              </w:rPr>
              <w:t>，本次评价取0.5m/s。</w:t>
            </w:r>
          </w:p>
          <w:p w14:paraId="7A36CDD7">
            <w:pPr>
              <w:adjustRightInd w:val="0"/>
              <w:snapToGrid w:val="0"/>
              <w:spacing w:line="300" w:lineRule="auto"/>
              <w:ind w:firstLine="520"/>
              <w:rPr>
                <w:rFonts w:hint="eastAsia"/>
                <w:b w:val="0"/>
                <w:bCs w:val="0"/>
                <w:spacing w:val="10"/>
                <w:lang w:val="en-US" w:eastAsia="zh-CN"/>
              </w:rPr>
            </w:pPr>
            <w:r>
              <w:rPr>
                <w:rFonts w:hint="eastAsia"/>
                <w:b w:val="0"/>
                <w:bCs w:val="0"/>
                <w:spacing w:val="10"/>
                <w:lang w:val="en-US" w:eastAsia="zh-CN"/>
              </w:rPr>
              <w:t>则每个集气罩设计风量1350m</w:t>
            </w:r>
            <w:r>
              <w:rPr>
                <w:rFonts w:hint="eastAsia"/>
                <w:b w:val="0"/>
                <w:bCs w:val="0"/>
                <w:spacing w:val="10"/>
                <w:vertAlign w:val="superscript"/>
                <w:lang w:val="en-US" w:eastAsia="zh-CN"/>
              </w:rPr>
              <w:t>3</w:t>
            </w:r>
            <w:r>
              <w:rPr>
                <w:rFonts w:hint="eastAsia"/>
                <w:b w:val="0"/>
                <w:bCs w:val="0"/>
                <w:spacing w:val="10"/>
                <w:lang w:val="en-US" w:eastAsia="zh-CN"/>
              </w:rPr>
              <w:t>/h，本项目共设置12个包围型集气罩，总风量16200m</w:t>
            </w:r>
            <w:r>
              <w:rPr>
                <w:rFonts w:hint="eastAsia"/>
                <w:b w:val="0"/>
                <w:bCs w:val="0"/>
                <w:spacing w:val="10"/>
                <w:vertAlign w:val="superscript"/>
                <w:lang w:val="en-US" w:eastAsia="zh-CN"/>
              </w:rPr>
              <w:t>3</w:t>
            </w:r>
            <w:r>
              <w:rPr>
                <w:rFonts w:hint="eastAsia"/>
                <w:b w:val="0"/>
                <w:bCs w:val="0"/>
                <w:spacing w:val="10"/>
                <w:lang w:val="en-US" w:eastAsia="zh-CN"/>
              </w:rPr>
              <w:t>/h。</w:t>
            </w:r>
          </w:p>
          <w:p w14:paraId="0F307995">
            <w:pPr>
              <w:adjustRightInd w:val="0"/>
              <w:snapToGrid w:val="0"/>
              <w:spacing w:line="300" w:lineRule="auto"/>
              <w:ind w:firstLine="520"/>
              <w:rPr>
                <w:rFonts w:hint="default"/>
                <w:spacing w:val="10"/>
                <w:lang w:val="en-US" w:eastAsia="zh-CN"/>
              </w:rPr>
            </w:pPr>
            <w:r>
              <w:rPr>
                <w:rFonts w:hint="eastAsia"/>
                <w:b w:val="0"/>
                <w:bCs w:val="0"/>
                <w:spacing w:val="10"/>
                <w:lang w:val="en-US" w:eastAsia="zh-CN"/>
              </w:rPr>
              <w:t>则本项目有机废气理论收集风量为17233m</w:t>
            </w:r>
            <w:r>
              <w:rPr>
                <w:rFonts w:hint="eastAsia"/>
                <w:b w:val="0"/>
                <w:bCs w:val="0"/>
                <w:spacing w:val="10"/>
                <w:vertAlign w:val="superscript"/>
                <w:lang w:val="en-US" w:eastAsia="zh-CN"/>
              </w:rPr>
              <w:t>3</w:t>
            </w:r>
            <w:r>
              <w:rPr>
                <w:rFonts w:hint="eastAsia"/>
                <w:b w:val="0"/>
                <w:bCs w:val="0"/>
                <w:spacing w:val="10"/>
                <w:lang w:val="en-US" w:eastAsia="zh-CN"/>
              </w:rPr>
              <w:t>/h，考虑风量损失，本次评价取20000m</w:t>
            </w:r>
            <w:r>
              <w:rPr>
                <w:rFonts w:hint="eastAsia"/>
                <w:b w:val="0"/>
                <w:bCs w:val="0"/>
                <w:spacing w:val="10"/>
                <w:vertAlign w:val="superscript"/>
                <w:lang w:val="en-US" w:eastAsia="zh-CN"/>
              </w:rPr>
              <w:t>3</w:t>
            </w:r>
            <w:r>
              <w:rPr>
                <w:rFonts w:hint="eastAsia"/>
                <w:b w:val="0"/>
                <w:bCs w:val="0"/>
                <w:spacing w:val="10"/>
                <w:lang w:val="en-US" w:eastAsia="zh-CN"/>
              </w:rPr>
              <w:t>/h。</w:t>
            </w:r>
          </w:p>
          <w:p w14:paraId="7AA524C7">
            <w:pPr>
              <w:adjustRightInd w:val="0"/>
              <w:snapToGrid w:val="0"/>
              <w:spacing w:line="300" w:lineRule="auto"/>
              <w:ind w:firstLine="520"/>
              <w:rPr>
                <w:rFonts w:hint="default"/>
                <w:b w:val="0"/>
                <w:bCs w:val="0"/>
                <w:spacing w:val="10"/>
                <w:lang w:val="en-US" w:eastAsia="zh-CN"/>
              </w:rPr>
            </w:pPr>
            <w:r>
              <w:rPr>
                <w:rFonts w:hint="eastAsia"/>
                <w:b w:val="0"/>
                <w:bCs w:val="0"/>
                <w:spacing w:val="10"/>
                <w:lang w:val="en-US" w:eastAsia="zh-CN"/>
              </w:rPr>
              <w:t>根据《广东省工业源挥发性有机物减排量核算方法（2023年修订版）》中表3.3-2 废气收集集气效率参考值，设备废气排口直连收集效率可达到95%，加上包围型集气罩对残留有机废气收集，本次评价有机废气收集效率取95%。</w:t>
            </w:r>
          </w:p>
          <w:p w14:paraId="48E65764">
            <w:pPr>
              <w:adjustRightInd w:val="0"/>
              <w:snapToGrid w:val="0"/>
              <w:spacing w:line="300" w:lineRule="auto"/>
              <w:ind w:firstLine="520"/>
              <w:rPr>
                <w:rFonts w:hint="default"/>
                <w:b w:val="0"/>
                <w:bCs w:val="0"/>
                <w:spacing w:val="10"/>
                <w:lang w:val="en-US" w:eastAsia="zh-CN"/>
              </w:rPr>
            </w:pPr>
            <w:r>
              <w:rPr>
                <w:rFonts w:hint="eastAsia"/>
                <w:b w:val="0"/>
                <w:bCs w:val="0"/>
                <w:spacing w:val="10"/>
                <w:lang w:val="en-US" w:eastAsia="zh-CN"/>
              </w:rPr>
              <w:t>本项目有机废气末端治理设施为“二级活性炭吸附装置”，根据《广东 省生态环境厅关于印发&lt;广东省印刷行业挥发性有机化合物废气治理技术指南&gt;的通知》（粤环〔2013〕79号），活性炭吸附法对 VOCs 的治理效率为 50~80%，本项目活性炭吸附单级处理效率可取50% ，二级活性炭吸附效率可达75%，本评价取75%。具体产排污情况见表4-1。</w:t>
            </w:r>
          </w:p>
          <w:p w14:paraId="0B89AE16">
            <w:pPr>
              <w:adjustRightInd w:val="0"/>
              <w:snapToGrid w:val="0"/>
              <w:spacing w:line="300" w:lineRule="auto"/>
              <w:ind w:firstLine="482"/>
              <w:rPr>
                <w:b/>
                <w:bCs/>
                <w:szCs w:val="32"/>
              </w:rPr>
            </w:pPr>
            <w:r>
              <w:rPr>
                <w:b/>
                <w:bCs/>
                <w:szCs w:val="32"/>
              </w:rPr>
              <w:t>2、废气处理可行性分析</w:t>
            </w:r>
          </w:p>
          <w:p w14:paraId="44B351FE">
            <w:pPr>
              <w:adjustRightInd w:val="0"/>
              <w:snapToGrid w:val="0"/>
              <w:spacing w:line="300" w:lineRule="auto"/>
              <w:ind w:firstLine="520"/>
              <w:rPr>
                <w:rFonts w:hint="default" w:eastAsia="宋体"/>
                <w:spacing w:val="10"/>
                <w:highlight w:val="none"/>
                <w:lang w:val="en-US" w:eastAsia="zh-CN"/>
              </w:rPr>
            </w:pPr>
            <w:r>
              <w:rPr>
                <w:rFonts w:hint="eastAsia"/>
                <w:spacing w:val="10"/>
                <w:highlight w:val="none"/>
                <w:lang w:val="en-US" w:eastAsia="zh-CN"/>
              </w:rPr>
              <w:t>本项目精炼酶生产过程粉尘经半密闭型集气罩收集后经布袋除尘器处理，尾气引至1根15m高排气筒DA001排放；有机助剂生产过程有机废气经设备直连，集气罩进一步收集后经“二级活性炭吸附装置”处理，尾气引至1根15m高排气筒DA002排放。</w:t>
            </w:r>
          </w:p>
          <w:p w14:paraId="3E370FC8">
            <w:pPr>
              <w:adjustRightInd w:val="0"/>
              <w:snapToGrid w:val="0"/>
              <w:spacing w:line="300" w:lineRule="auto"/>
              <w:ind w:firstLine="520"/>
              <w:rPr>
                <w:rFonts w:hint="eastAsia" w:eastAsia="宋体"/>
                <w:spacing w:val="10"/>
                <w:highlight w:val="none"/>
                <w:lang w:val="en-US" w:eastAsia="zh-CN"/>
              </w:rPr>
            </w:pPr>
            <w:r>
              <w:rPr>
                <w:rFonts w:hint="eastAsia"/>
                <w:b/>
                <w:bCs/>
                <w:spacing w:val="10"/>
                <w:highlight w:val="none"/>
                <w:lang w:val="en-US" w:eastAsia="zh-CN"/>
              </w:rPr>
              <w:t>布袋除尘器：</w:t>
            </w:r>
            <w:r>
              <w:rPr>
                <w:rFonts w:hint="eastAsia"/>
                <w:spacing w:val="10"/>
                <w:highlight w:val="none"/>
                <w:lang w:val="en-US" w:eastAsia="zh-CN"/>
              </w:rPr>
              <w:t>袋式除尘器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p>
          <w:p w14:paraId="2B64AA76">
            <w:pPr>
              <w:adjustRightInd w:val="0"/>
              <w:snapToGrid w:val="0"/>
              <w:spacing w:line="300" w:lineRule="auto"/>
              <w:ind w:firstLine="520"/>
              <w:rPr>
                <w:rFonts w:hint="eastAsia"/>
                <w:spacing w:val="10"/>
                <w:highlight w:val="none"/>
                <w:lang w:val="en-US" w:eastAsia="zh-CN"/>
              </w:rPr>
            </w:pPr>
            <w:r>
              <w:rPr>
                <w:rFonts w:hint="eastAsia"/>
                <w:b/>
                <w:bCs/>
                <w:spacing w:val="10"/>
                <w:highlight w:val="none"/>
                <w:lang w:val="en-US" w:eastAsia="zh-CN"/>
              </w:rPr>
              <w:t>二级活性炭吸附装置：</w:t>
            </w:r>
            <w:r>
              <w:rPr>
                <w:rFonts w:hint="eastAsia"/>
                <w:spacing w:val="10"/>
                <w:highlight w:val="none"/>
                <w:lang w:val="en-US" w:eastAsia="zh-CN"/>
              </w:rPr>
              <w:t>活性炭在活化过程中，巨大的表面积和复杂的孔隙结构逐渐形成，活性炭吸附剂正是根据车间内挥发性有机化合物等有害气体分子的大小， 经过特殊孔径调节工艺处理，使其具备了丰富的微孔、中孔、大孔的结构特征， 能够根据有害气体的分子大小自动进行调配而达到配对吸附的效果。除了物理吸附之外，化学反应也经常发生在活性炭的表面。活性炭不仅含碳，而且在其表面含有少量的化学结合、功能团形式的氧和氢，例如羧基、羟基、酚类、内脂类、醌类、醚类等。这些表面上含有地氧化物或络合物可以与被吸附的物质发生化学反应，从而与被吸附物质结合聚集到活性炭的表面。</w:t>
            </w:r>
          </w:p>
          <w:p w14:paraId="2F130E90">
            <w:pPr>
              <w:adjustRightInd w:val="0"/>
              <w:snapToGrid w:val="0"/>
              <w:spacing w:line="300" w:lineRule="auto"/>
              <w:ind w:firstLine="520"/>
              <w:rPr>
                <w:rFonts w:hint="eastAsia"/>
                <w:spacing w:val="10"/>
                <w:highlight w:val="none"/>
                <w:lang w:val="en-US" w:eastAsia="zh-CN"/>
              </w:rPr>
            </w:pPr>
            <w:r>
              <w:rPr>
                <w:rFonts w:hint="eastAsia"/>
                <w:spacing w:val="10"/>
                <w:highlight w:val="none"/>
                <w:lang w:val="en-US" w:eastAsia="zh-CN"/>
              </w:rPr>
              <w:t>为了更好发挥活性炭吸附能力，项目于一级活性炭吸附箱后再加一级活性炭吸附箱对废气进行处理，分为两个串联的独立活性炭箱体，其相对于活性炭箱中再增加一级活性炭填充量而言，有机废气在活性炭中吸附停留时间更长，使得活性炭对有机废气能更好吸附。根据《广东省生态环境厅关于印发工业源 挥发性有机物和氮氧化物减排量核算方法的通知》（粤环函〔2023〕538 号）表3.3-4，活性炭吸附技术种活性炭箱体应设计合理，废气相对湿度需低于 80%； 废气中颗粒物含量宜低于lmg/m</w:t>
            </w:r>
            <w:r>
              <w:rPr>
                <w:rFonts w:hint="eastAsia"/>
                <w:spacing w:val="10"/>
                <w:highlight w:val="none"/>
                <w:vertAlign w:val="superscript"/>
                <w:lang w:val="en-US" w:eastAsia="zh-CN"/>
              </w:rPr>
              <w:t>3</w:t>
            </w:r>
            <w:r>
              <w:rPr>
                <w:rFonts w:hint="eastAsia"/>
                <w:spacing w:val="10"/>
                <w:highlight w:val="none"/>
                <w:lang w:val="en-US" w:eastAsia="zh-CN"/>
              </w:rPr>
              <w:t>；装置入口废气温度不高于40C；颗粒炭过滤风速&lt;0.5m/s；纤维状风速&lt;0.15m/s；蜂窝状活性炭风速&lt;1.2m/s。活性炭层装填厚度不低于 300mm，颗粒活性炭碘值不低于800 mg/g，蜂窝活性炭碘值不低于 650mg/g。具体 设计参数如下表。</w:t>
            </w:r>
          </w:p>
          <w:p w14:paraId="3FF03119">
            <w:pPr>
              <w:adjustRightInd w:val="0"/>
              <w:snapToGrid w:val="0"/>
              <w:spacing w:line="300" w:lineRule="auto"/>
              <w:ind w:left="0" w:leftChars="0" w:firstLine="0" w:firstLineChars="0"/>
              <w:jc w:val="center"/>
              <w:rPr>
                <w:rFonts w:hint="default" w:eastAsia="宋体"/>
                <w:b/>
                <w:bCs/>
                <w:spacing w:val="10"/>
                <w:highlight w:val="none"/>
                <w:lang w:val="en-US" w:eastAsia="zh-CN"/>
              </w:rPr>
            </w:pPr>
            <w:r>
              <w:rPr>
                <w:rFonts w:hint="eastAsia"/>
                <w:b/>
                <w:bCs/>
                <w:spacing w:val="10"/>
                <w:highlight w:val="none"/>
                <w:lang w:val="en-US" w:eastAsia="zh-CN"/>
              </w:rPr>
              <w:t>表4-6  二级活性炭箱参数</w:t>
            </w:r>
          </w:p>
          <w:tbl>
            <w:tblPr>
              <w:tblStyle w:val="31"/>
              <w:tblW w:w="0" w:type="auto"/>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49"/>
              <w:gridCol w:w="3398"/>
              <w:gridCol w:w="3379"/>
            </w:tblGrid>
            <w:tr w14:paraId="2DF21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549" w:type="dxa"/>
                  <w:tcBorders>
                    <w:tl2br w:val="nil"/>
                    <w:tr2bl w:val="nil"/>
                  </w:tcBorders>
                  <w:shd w:val="clear" w:color="auto" w:fill="auto"/>
                  <w:noWrap/>
                  <w:vAlign w:val="center"/>
                </w:tcPr>
                <w:p w14:paraId="0DA75344">
                  <w:pPr>
                    <w:adjustRightInd w:val="0"/>
                    <w:snapToGrid w:val="0"/>
                    <w:spacing w:line="240" w:lineRule="auto"/>
                    <w:ind w:firstLine="0" w:firstLineChars="0"/>
                    <w:jc w:val="center"/>
                    <w:rPr>
                      <w:rFonts w:hint="eastAsia"/>
                      <w:b/>
                      <w:bCs w:val="0"/>
                      <w:sz w:val="21"/>
                      <w:szCs w:val="21"/>
                      <w:lang w:val="en-US" w:eastAsia="zh-CN"/>
                    </w:rPr>
                  </w:pPr>
                  <w:r>
                    <w:rPr>
                      <w:rFonts w:hint="eastAsia"/>
                      <w:b/>
                      <w:bCs w:val="0"/>
                      <w:sz w:val="21"/>
                      <w:szCs w:val="21"/>
                      <w:lang w:val="en-US" w:eastAsia="zh-CN"/>
                    </w:rPr>
                    <w:t>参数</w:t>
                  </w:r>
                </w:p>
              </w:tc>
              <w:tc>
                <w:tcPr>
                  <w:tcW w:w="3398" w:type="dxa"/>
                  <w:tcBorders>
                    <w:tl2br w:val="nil"/>
                    <w:tr2bl w:val="nil"/>
                  </w:tcBorders>
                  <w:shd w:val="clear" w:color="auto" w:fill="auto"/>
                  <w:noWrap/>
                  <w:vAlign w:val="center"/>
                </w:tcPr>
                <w:p w14:paraId="4B527D76">
                  <w:pPr>
                    <w:adjustRightInd w:val="0"/>
                    <w:snapToGrid w:val="0"/>
                    <w:spacing w:line="240" w:lineRule="auto"/>
                    <w:ind w:firstLine="0" w:firstLineChars="0"/>
                    <w:jc w:val="center"/>
                    <w:rPr>
                      <w:rFonts w:hint="eastAsia"/>
                      <w:b/>
                      <w:bCs w:val="0"/>
                      <w:sz w:val="21"/>
                      <w:szCs w:val="21"/>
                      <w:lang w:val="en-US" w:eastAsia="zh-CN"/>
                    </w:rPr>
                  </w:pPr>
                  <w:r>
                    <w:rPr>
                      <w:rFonts w:hint="eastAsia"/>
                      <w:b/>
                      <w:bCs w:val="0"/>
                      <w:sz w:val="21"/>
                      <w:szCs w:val="21"/>
                      <w:lang w:val="en-US" w:eastAsia="zh-CN"/>
                    </w:rPr>
                    <w:t>第一级活性炭</w:t>
                  </w:r>
                </w:p>
              </w:tc>
              <w:tc>
                <w:tcPr>
                  <w:tcW w:w="3379" w:type="dxa"/>
                  <w:tcBorders>
                    <w:tl2br w:val="nil"/>
                    <w:tr2bl w:val="nil"/>
                  </w:tcBorders>
                  <w:shd w:val="clear" w:color="auto" w:fill="auto"/>
                  <w:noWrap/>
                  <w:vAlign w:val="center"/>
                </w:tcPr>
                <w:p w14:paraId="49B6083F">
                  <w:pPr>
                    <w:adjustRightInd w:val="0"/>
                    <w:snapToGrid w:val="0"/>
                    <w:spacing w:line="240" w:lineRule="auto"/>
                    <w:ind w:firstLine="0" w:firstLineChars="0"/>
                    <w:jc w:val="center"/>
                    <w:rPr>
                      <w:rFonts w:hint="eastAsia"/>
                      <w:b/>
                      <w:bCs w:val="0"/>
                      <w:sz w:val="21"/>
                      <w:szCs w:val="21"/>
                      <w:lang w:val="en-US" w:eastAsia="zh-CN"/>
                    </w:rPr>
                  </w:pPr>
                  <w:r>
                    <w:rPr>
                      <w:rFonts w:hint="eastAsia"/>
                      <w:b/>
                      <w:bCs w:val="0"/>
                      <w:sz w:val="21"/>
                      <w:szCs w:val="21"/>
                      <w:lang w:val="en-US" w:eastAsia="zh-CN"/>
                    </w:rPr>
                    <w:t>第二级活性炭</w:t>
                  </w:r>
                </w:p>
              </w:tc>
            </w:tr>
            <w:tr w14:paraId="43D7F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549" w:type="dxa"/>
                  <w:tcBorders>
                    <w:tl2br w:val="nil"/>
                    <w:tr2bl w:val="nil"/>
                  </w:tcBorders>
                  <w:shd w:val="clear" w:color="auto" w:fill="auto"/>
                  <w:noWrap/>
                  <w:vAlign w:val="center"/>
                </w:tcPr>
                <w:p w14:paraId="1D306417">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炭箱尺寸</w:t>
                  </w:r>
                </w:p>
              </w:tc>
              <w:tc>
                <w:tcPr>
                  <w:tcW w:w="3398" w:type="dxa"/>
                  <w:tcBorders>
                    <w:tl2br w:val="nil"/>
                    <w:tr2bl w:val="nil"/>
                  </w:tcBorders>
                  <w:shd w:val="clear" w:color="auto" w:fill="auto"/>
                  <w:vAlign w:val="center"/>
                </w:tcPr>
                <w:p w14:paraId="4D58732E">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L3400mm/W2000MM/H1200mm</w:t>
                  </w:r>
                </w:p>
              </w:tc>
              <w:tc>
                <w:tcPr>
                  <w:tcW w:w="3379" w:type="dxa"/>
                  <w:tcBorders>
                    <w:tl2br w:val="nil"/>
                    <w:tr2bl w:val="nil"/>
                  </w:tcBorders>
                  <w:shd w:val="clear" w:color="auto" w:fill="auto"/>
                  <w:vAlign w:val="center"/>
                </w:tcPr>
                <w:p w14:paraId="77AC86D9">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L3400mm/W2000MM/H1200mm</w:t>
                  </w:r>
                </w:p>
              </w:tc>
            </w:tr>
            <w:tr w14:paraId="6591F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549" w:type="dxa"/>
                  <w:tcBorders>
                    <w:tl2br w:val="nil"/>
                    <w:tr2bl w:val="nil"/>
                  </w:tcBorders>
                  <w:shd w:val="clear" w:color="auto" w:fill="auto"/>
                  <w:noWrap/>
                  <w:vAlign w:val="center"/>
                </w:tcPr>
                <w:p w14:paraId="0127FCDC">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处理风量</w:t>
                  </w:r>
                </w:p>
              </w:tc>
              <w:tc>
                <w:tcPr>
                  <w:tcW w:w="3398" w:type="dxa"/>
                  <w:tcBorders>
                    <w:tl2br w:val="nil"/>
                    <w:tr2bl w:val="nil"/>
                  </w:tcBorders>
                  <w:shd w:val="clear" w:color="auto" w:fill="auto"/>
                  <w:noWrap/>
                  <w:vAlign w:val="center"/>
                </w:tcPr>
                <w:p w14:paraId="1E42A716">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20000</w:t>
                  </w:r>
                </w:p>
              </w:tc>
              <w:tc>
                <w:tcPr>
                  <w:tcW w:w="3379" w:type="dxa"/>
                  <w:tcBorders>
                    <w:tl2br w:val="nil"/>
                    <w:tr2bl w:val="nil"/>
                  </w:tcBorders>
                  <w:shd w:val="clear" w:color="auto" w:fill="auto"/>
                  <w:noWrap/>
                  <w:vAlign w:val="center"/>
                </w:tcPr>
                <w:p w14:paraId="27248C7C">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20000</w:t>
                  </w:r>
                </w:p>
              </w:tc>
            </w:tr>
            <w:tr w14:paraId="405C2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2838280C">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风阻 pa/10cm</w:t>
                  </w:r>
                </w:p>
              </w:tc>
              <w:tc>
                <w:tcPr>
                  <w:tcW w:w="3398" w:type="dxa"/>
                  <w:tcBorders>
                    <w:tl2br w:val="nil"/>
                    <w:tr2bl w:val="nil"/>
                  </w:tcBorders>
                  <w:shd w:val="clear" w:color="auto" w:fill="auto"/>
                  <w:vAlign w:val="center"/>
                </w:tcPr>
                <w:p w14:paraId="01538C79">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250-300</w:t>
                  </w:r>
                </w:p>
              </w:tc>
              <w:tc>
                <w:tcPr>
                  <w:tcW w:w="3379" w:type="dxa"/>
                  <w:tcBorders>
                    <w:tl2br w:val="nil"/>
                    <w:tr2bl w:val="nil"/>
                  </w:tcBorders>
                  <w:shd w:val="clear" w:color="auto" w:fill="auto"/>
                  <w:vAlign w:val="center"/>
                </w:tcPr>
                <w:p w14:paraId="7C5F2112">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250-300</w:t>
                  </w:r>
                </w:p>
              </w:tc>
            </w:tr>
            <w:tr w14:paraId="16494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5" w:hRule="atLeast"/>
              </w:trPr>
              <w:tc>
                <w:tcPr>
                  <w:tcW w:w="1549" w:type="dxa"/>
                  <w:tcBorders>
                    <w:tl2br w:val="nil"/>
                    <w:tr2bl w:val="nil"/>
                  </w:tcBorders>
                  <w:shd w:val="clear" w:color="auto" w:fill="auto"/>
                  <w:vAlign w:val="center"/>
                </w:tcPr>
                <w:p w14:paraId="4C4AE0A3">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装填块数</w:t>
                  </w:r>
                </w:p>
              </w:tc>
              <w:tc>
                <w:tcPr>
                  <w:tcW w:w="3398" w:type="dxa"/>
                  <w:tcBorders>
                    <w:tl2br w:val="nil"/>
                    <w:tr2bl w:val="nil"/>
                  </w:tcBorders>
                  <w:shd w:val="clear" w:color="auto" w:fill="auto"/>
                  <w:vAlign w:val="center"/>
                </w:tcPr>
                <w:p w14:paraId="60D9C659">
                  <w:pPr>
                    <w:adjustRightInd w:val="0"/>
                    <w:snapToGrid w:val="0"/>
                    <w:spacing w:line="240" w:lineRule="auto"/>
                    <w:ind w:firstLine="0" w:firstLineChars="0"/>
                    <w:jc w:val="center"/>
                    <w:rPr>
                      <w:rFonts w:hint="default"/>
                      <w:bCs/>
                      <w:sz w:val="21"/>
                      <w:szCs w:val="21"/>
                      <w:lang w:val="en-US" w:eastAsia="zh-CN"/>
                    </w:rPr>
                  </w:pPr>
                  <w:r>
                    <w:rPr>
                      <w:rFonts w:hint="eastAsia"/>
                      <w:bCs/>
                      <w:sz w:val="21"/>
                      <w:szCs w:val="21"/>
                      <w:lang w:val="en-US" w:eastAsia="zh-CN"/>
                    </w:rPr>
                    <w:t>3456</w:t>
                  </w:r>
                </w:p>
              </w:tc>
              <w:tc>
                <w:tcPr>
                  <w:tcW w:w="3379" w:type="dxa"/>
                  <w:tcBorders>
                    <w:tl2br w:val="nil"/>
                    <w:tr2bl w:val="nil"/>
                  </w:tcBorders>
                  <w:shd w:val="clear" w:color="auto" w:fill="auto"/>
                  <w:vAlign w:val="center"/>
                </w:tcPr>
                <w:p w14:paraId="35933BE3">
                  <w:pPr>
                    <w:adjustRightInd w:val="0"/>
                    <w:snapToGrid w:val="0"/>
                    <w:spacing w:line="240" w:lineRule="auto"/>
                    <w:ind w:firstLine="0" w:firstLineChars="0"/>
                    <w:jc w:val="center"/>
                    <w:rPr>
                      <w:rFonts w:hint="default"/>
                      <w:bCs/>
                      <w:sz w:val="21"/>
                      <w:szCs w:val="21"/>
                      <w:lang w:val="en-US" w:eastAsia="zh-CN"/>
                    </w:rPr>
                  </w:pPr>
                  <w:r>
                    <w:rPr>
                      <w:rFonts w:hint="eastAsia"/>
                      <w:bCs/>
                      <w:sz w:val="21"/>
                      <w:szCs w:val="21"/>
                      <w:lang w:val="en-US" w:eastAsia="zh-CN"/>
                    </w:rPr>
                    <w:t>3456</w:t>
                  </w:r>
                </w:p>
              </w:tc>
            </w:tr>
            <w:tr w14:paraId="1708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40FBB918">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单个活性炭尺 寸</w:t>
                  </w:r>
                </w:p>
              </w:tc>
              <w:tc>
                <w:tcPr>
                  <w:tcW w:w="3398" w:type="dxa"/>
                  <w:tcBorders>
                    <w:tl2br w:val="nil"/>
                    <w:tr2bl w:val="nil"/>
                  </w:tcBorders>
                  <w:shd w:val="clear" w:color="auto" w:fill="auto"/>
                  <w:vAlign w:val="center"/>
                </w:tcPr>
                <w:p w14:paraId="323D10D6">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100mm×100mm×100mm</w:t>
                  </w:r>
                </w:p>
              </w:tc>
              <w:tc>
                <w:tcPr>
                  <w:tcW w:w="3379" w:type="dxa"/>
                  <w:tcBorders>
                    <w:tl2br w:val="nil"/>
                    <w:tr2bl w:val="nil"/>
                  </w:tcBorders>
                  <w:shd w:val="clear" w:color="auto" w:fill="auto"/>
                  <w:vAlign w:val="center"/>
                </w:tcPr>
                <w:p w14:paraId="45DB1A9A">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100mm×100mm×100mm</w:t>
                  </w:r>
                </w:p>
              </w:tc>
            </w:tr>
            <w:tr w14:paraId="78A95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589052F9">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装填层数</w:t>
                  </w:r>
                </w:p>
              </w:tc>
              <w:tc>
                <w:tcPr>
                  <w:tcW w:w="3398" w:type="dxa"/>
                  <w:tcBorders>
                    <w:tl2br w:val="nil"/>
                    <w:tr2bl w:val="nil"/>
                  </w:tcBorders>
                  <w:shd w:val="clear" w:color="auto" w:fill="auto"/>
                  <w:vAlign w:val="center"/>
                </w:tcPr>
                <w:p w14:paraId="778494FD">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6层</w:t>
                  </w:r>
                </w:p>
              </w:tc>
              <w:tc>
                <w:tcPr>
                  <w:tcW w:w="3379" w:type="dxa"/>
                  <w:tcBorders>
                    <w:tl2br w:val="nil"/>
                    <w:tr2bl w:val="nil"/>
                  </w:tcBorders>
                  <w:shd w:val="clear" w:color="auto" w:fill="auto"/>
                  <w:vAlign w:val="center"/>
                </w:tcPr>
                <w:p w14:paraId="7F338085">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6层</w:t>
                  </w:r>
                </w:p>
              </w:tc>
            </w:tr>
            <w:tr w14:paraId="098D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48872C13">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布置情况</w:t>
                  </w:r>
                </w:p>
              </w:tc>
              <w:tc>
                <w:tcPr>
                  <w:tcW w:w="3398" w:type="dxa"/>
                  <w:tcBorders>
                    <w:tl2br w:val="nil"/>
                    <w:tr2bl w:val="nil"/>
                  </w:tcBorders>
                  <w:shd w:val="clear" w:color="auto" w:fill="auto"/>
                  <w:vAlign w:val="center"/>
                </w:tcPr>
                <w:p w14:paraId="1ECF01BC">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每个抽屈设置 18 行 (L向)8 列(w 向)，单层 4个抽屉共 576个蜂窝活性炭</w:t>
                  </w:r>
                </w:p>
              </w:tc>
              <w:tc>
                <w:tcPr>
                  <w:tcW w:w="3379" w:type="dxa"/>
                  <w:tcBorders>
                    <w:tl2br w:val="nil"/>
                    <w:tr2bl w:val="nil"/>
                  </w:tcBorders>
                  <w:shd w:val="clear" w:color="auto" w:fill="auto"/>
                  <w:vAlign w:val="center"/>
                </w:tcPr>
                <w:p w14:paraId="50331CA8">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每个抽屈设置 18 行 (L向)8 列(w 向) ，单层 4个抽屉共 576个蜂窝活性炭</w:t>
                  </w:r>
                </w:p>
              </w:tc>
            </w:tr>
            <w:tr w14:paraId="1C6E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2DD6F2A4">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每层装填面积</w:t>
                  </w:r>
                </w:p>
              </w:tc>
              <w:tc>
                <w:tcPr>
                  <w:tcW w:w="3398" w:type="dxa"/>
                  <w:tcBorders>
                    <w:tl2br w:val="nil"/>
                    <w:tr2bl w:val="nil"/>
                  </w:tcBorders>
                  <w:shd w:val="clear" w:color="auto" w:fill="auto"/>
                  <w:vAlign w:val="center"/>
                </w:tcPr>
                <w:p w14:paraId="457ED050">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5.76</w:t>
                  </w:r>
                </w:p>
              </w:tc>
              <w:tc>
                <w:tcPr>
                  <w:tcW w:w="3379" w:type="dxa"/>
                  <w:tcBorders>
                    <w:tl2br w:val="nil"/>
                    <w:tr2bl w:val="nil"/>
                  </w:tcBorders>
                  <w:shd w:val="clear" w:color="auto" w:fill="auto"/>
                  <w:vAlign w:val="center"/>
                </w:tcPr>
                <w:p w14:paraId="7D04A399">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5.76</w:t>
                  </w:r>
                </w:p>
              </w:tc>
            </w:tr>
            <w:tr w14:paraId="44445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01B30919">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过风面积 m</w:t>
                  </w:r>
                  <w:r>
                    <w:rPr>
                      <w:rFonts w:hint="eastAsia"/>
                      <w:bCs/>
                      <w:sz w:val="21"/>
                      <w:szCs w:val="21"/>
                      <w:vertAlign w:val="superscript"/>
                      <w:lang w:val="en-US" w:eastAsia="zh-CN"/>
                    </w:rPr>
                    <w:t>2</w:t>
                  </w:r>
                </w:p>
              </w:tc>
              <w:tc>
                <w:tcPr>
                  <w:tcW w:w="3398" w:type="dxa"/>
                  <w:tcBorders>
                    <w:tl2br w:val="nil"/>
                    <w:tr2bl w:val="nil"/>
                  </w:tcBorders>
                  <w:shd w:val="clear" w:color="auto" w:fill="auto"/>
                  <w:vAlign w:val="center"/>
                </w:tcPr>
                <w:p w14:paraId="13979D00">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5.76</w:t>
                  </w:r>
                </w:p>
              </w:tc>
              <w:tc>
                <w:tcPr>
                  <w:tcW w:w="3379" w:type="dxa"/>
                  <w:tcBorders>
                    <w:tl2br w:val="nil"/>
                    <w:tr2bl w:val="nil"/>
                  </w:tcBorders>
                  <w:shd w:val="clear" w:color="auto" w:fill="auto"/>
                  <w:vAlign w:val="center"/>
                </w:tcPr>
                <w:p w14:paraId="6536DE18">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5.76</w:t>
                  </w:r>
                </w:p>
              </w:tc>
            </w:tr>
            <w:tr w14:paraId="50ED2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5C3E4CEE">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过风速度(吸附速率)m/s</w:t>
                  </w:r>
                </w:p>
              </w:tc>
              <w:tc>
                <w:tcPr>
                  <w:tcW w:w="3398" w:type="dxa"/>
                  <w:tcBorders>
                    <w:tl2br w:val="nil"/>
                    <w:tr2bl w:val="nil"/>
                  </w:tcBorders>
                  <w:shd w:val="clear" w:color="auto" w:fill="auto"/>
                  <w:vAlign w:val="center"/>
                </w:tcPr>
                <w:p w14:paraId="33B17C48">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0.96</w:t>
                  </w:r>
                </w:p>
              </w:tc>
              <w:tc>
                <w:tcPr>
                  <w:tcW w:w="3379" w:type="dxa"/>
                  <w:tcBorders>
                    <w:tl2br w:val="nil"/>
                    <w:tr2bl w:val="nil"/>
                  </w:tcBorders>
                  <w:shd w:val="clear" w:color="auto" w:fill="auto"/>
                  <w:vAlign w:val="center"/>
                </w:tcPr>
                <w:p w14:paraId="41B2B160">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0.96</w:t>
                  </w:r>
                </w:p>
              </w:tc>
            </w:tr>
            <w:tr w14:paraId="38BE7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549" w:type="dxa"/>
                  <w:tcBorders>
                    <w:tl2br w:val="nil"/>
                    <w:tr2bl w:val="nil"/>
                  </w:tcBorders>
                  <w:shd w:val="clear" w:color="auto" w:fill="auto"/>
                  <w:noWrap/>
                  <w:vAlign w:val="center"/>
                </w:tcPr>
                <w:p w14:paraId="4192BED2">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装填厚度 mm</w:t>
                  </w:r>
                </w:p>
              </w:tc>
              <w:tc>
                <w:tcPr>
                  <w:tcW w:w="3398" w:type="dxa"/>
                  <w:tcBorders>
                    <w:tl2br w:val="nil"/>
                    <w:tr2bl w:val="nil"/>
                  </w:tcBorders>
                  <w:shd w:val="clear" w:color="auto" w:fill="auto"/>
                  <w:noWrap/>
                  <w:vAlign w:val="center"/>
                </w:tcPr>
                <w:p w14:paraId="608E64B0">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600</w:t>
                  </w:r>
                </w:p>
              </w:tc>
              <w:tc>
                <w:tcPr>
                  <w:tcW w:w="3379" w:type="dxa"/>
                  <w:tcBorders>
                    <w:tl2br w:val="nil"/>
                    <w:tr2bl w:val="nil"/>
                  </w:tcBorders>
                  <w:shd w:val="clear" w:color="auto" w:fill="auto"/>
                  <w:noWrap/>
                  <w:vAlign w:val="center"/>
                </w:tcPr>
                <w:p w14:paraId="54499272">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600</w:t>
                  </w:r>
                </w:p>
              </w:tc>
            </w:tr>
            <w:tr w14:paraId="5EEA3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3854BA78">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接触时间 s</w:t>
                  </w:r>
                </w:p>
              </w:tc>
              <w:tc>
                <w:tcPr>
                  <w:tcW w:w="3398" w:type="dxa"/>
                  <w:tcBorders>
                    <w:tl2br w:val="nil"/>
                    <w:tr2bl w:val="nil"/>
                  </w:tcBorders>
                  <w:shd w:val="clear" w:color="auto" w:fill="auto"/>
                  <w:vAlign w:val="center"/>
                </w:tcPr>
                <w:p w14:paraId="6711C93C">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0.729</w:t>
                  </w:r>
                </w:p>
              </w:tc>
              <w:tc>
                <w:tcPr>
                  <w:tcW w:w="3379" w:type="dxa"/>
                  <w:tcBorders>
                    <w:tl2br w:val="nil"/>
                    <w:tr2bl w:val="nil"/>
                  </w:tcBorders>
                  <w:shd w:val="clear" w:color="auto" w:fill="auto"/>
                  <w:vAlign w:val="center"/>
                </w:tcPr>
                <w:p w14:paraId="2C1CC4C2">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0.729</w:t>
                  </w:r>
                </w:p>
              </w:tc>
            </w:tr>
            <w:tr w14:paraId="24B6E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0E1AB61B">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装填体积 m</w:t>
                  </w:r>
                  <w:r>
                    <w:rPr>
                      <w:rFonts w:hint="eastAsia"/>
                      <w:bCs/>
                      <w:sz w:val="21"/>
                      <w:szCs w:val="21"/>
                      <w:vertAlign w:val="superscript"/>
                      <w:lang w:val="en-US" w:eastAsia="zh-CN"/>
                    </w:rPr>
                    <w:t>3</w:t>
                  </w:r>
                </w:p>
              </w:tc>
              <w:tc>
                <w:tcPr>
                  <w:tcW w:w="3398" w:type="dxa"/>
                  <w:tcBorders>
                    <w:tl2br w:val="nil"/>
                    <w:tr2bl w:val="nil"/>
                  </w:tcBorders>
                  <w:shd w:val="clear" w:color="auto" w:fill="auto"/>
                  <w:vAlign w:val="center"/>
                </w:tcPr>
                <w:p w14:paraId="1877A0AF">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3.456</w:t>
                  </w:r>
                </w:p>
              </w:tc>
              <w:tc>
                <w:tcPr>
                  <w:tcW w:w="3379" w:type="dxa"/>
                  <w:tcBorders>
                    <w:tl2br w:val="nil"/>
                    <w:tr2bl w:val="nil"/>
                  </w:tcBorders>
                  <w:shd w:val="clear" w:color="auto" w:fill="auto"/>
                  <w:vAlign w:val="center"/>
                </w:tcPr>
                <w:p w14:paraId="45AC0C55">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3.456</w:t>
                  </w:r>
                </w:p>
              </w:tc>
            </w:tr>
            <w:tr w14:paraId="723B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512F449A">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装填重量 t</w:t>
                  </w:r>
                </w:p>
              </w:tc>
              <w:tc>
                <w:tcPr>
                  <w:tcW w:w="3398" w:type="dxa"/>
                  <w:tcBorders>
                    <w:tl2br w:val="nil"/>
                    <w:tr2bl w:val="nil"/>
                  </w:tcBorders>
                  <w:shd w:val="clear" w:color="auto" w:fill="auto"/>
                  <w:vAlign w:val="center"/>
                </w:tcPr>
                <w:p w14:paraId="1F6A1CFD">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2.074</w:t>
                  </w:r>
                </w:p>
              </w:tc>
              <w:tc>
                <w:tcPr>
                  <w:tcW w:w="3379" w:type="dxa"/>
                  <w:tcBorders>
                    <w:tl2br w:val="nil"/>
                    <w:tr2bl w:val="nil"/>
                  </w:tcBorders>
                  <w:shd w:val="clear" w:color="auto" w:fill="auto"/>
                  <w:vAlign w:val="center"/>
                </w:tcPr>
                <w:p w14:paraId="27BF180F">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2.074</w:t>
                  </w:r>
                </w:p>
              </w:tc>
            </w:tr>
            <w:tr w14:paraId="26F99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5BEE330B">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活性炭种类</w:t>
                  </w:r>
                </w:p>
              </w:tc>
              <w:tc>
                <w:tcPr>
                  <w:tcW w:w="3398" w:type="dxa"/>
                  <w:tcBorders>
                    <w:tl2br w:val="nil"/>
                    <w:tr2bl w:val="nil"/>
                  </w:tcBorders>
                  <w:shd w:val="clear" w:color="auto" w:fill="auto"/>
                  <w:vAlign w:val="center"/>
                </w:tcPr>
                <w:p w14:paraId="10D57491">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蜂窝状</w:t>
                  </w:r>
                </w:p>
              </w:tc>
              <w:tc>
                <w:tcPr>
                  <w:tcW w:w="3379" w:type="dxa"/>
                  <w:tcBorders>
                    <w:tl2br w:val="nil"/>
                    <w:tr2bl w:val="nil"/>
                  </w:tcBorders>
                  <w:shd w:val="clear" w:color="auto" w:fill="auto"/>
                  <w:vAlign w:val="center"/>
                </w:tcPr>
                <w:p w14:paraId="5DAACFF0">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蜂窝状</w:t>
                  </w:r>
                </w:p>
              </w:tc>
            </w:tr>
            <w:tr w14:paraId="4AEF0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549" w:type="dxa"/>
                  <w:tcBorders>
                    <w:tl2br w:val="nil"/>
                    <w:tr2bl w:val="nil"/>
                  </w:tcBorders>
                  <w:shd w:val="clear" w:color="auto" w:fill="auto"/>
                  <w:vAlign w:val="center"/>
                </w:tcPr>
                <w:p w14:paraId="4E85C57C">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碘值 mg/g</w:t>
                  </w:r>
                </w:p>
              </w:tc>
              <w:tc>
                <w:tcPr>
                  <w:tcW w:w="3398" w:type="dxa"/>
                  <w:tcBorders>
                    <w:tl2br w:val="nil"/>
                    <w:tr2bl w:val="nil"/>
                  </w:tcBorders>
                  <w:shd w:val="clear" w:color="auto" w:fill="auto"/>
                  <w:vAlign w:val="center"/>
                </w:tcPr>
                <w:p w14:paraId="2609F3F5">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&gt;800</w:t>
                  </w:r>
                </w:p>
              </w:tc>
              <w:tc>
                <w:tcPr>
                  <w:tcW w:w="3379" w:type="dxa"/>
                  <w:tcBorders>
                    <w:tl2br w:val="nil"/>
                    <w:tr2bl w:val="nil"/>
                  </w:tcBorders>
                  <w:shd w:val="clear" w:color="auto" w:fill="auto"/>
                  <w:vAlign w:val="center"/>
                </w:tcPr>
                <w:p w14:paraId="77705180">
                  <w:pPr>
                    <w:adjustRightInd w:val="0"/>
                    <w:snapToGrid w:val="0"/>
                    <w:spacing w:line="240" w:lineRule="auto"/>
                    <w:ind w:firstLine="0" w:firstLineChars="0"/>
                    <w:jc w:val="center"/>
                    <w:rPr>
                      <w:rFonts w:hint="eastAsia"/>
                      <w:bCs/>
                      <w:sz w:val="21"/>
                      <w:szCs w:val="21"/>
                      <w:lang w:val="en-US" w:eastAsia="zh-CN"/>
                    </w:rPr>
                  </w:pPr>
                  <w:r>
                    <w:rPr>
                      <w:rFonts w:hint="eastAsia"/>
                      <w:bCs/>
                      <w:sz w:val="21"/>
                      <w:szCs w:val="21"/>
                      <w:lang w:val="en-US" w:eastAsia="zh-CN"/>
                    </w:rPr>
                    <w:t>&gt;800</w:t>
                  </w:r>
                </w:p>
              </w:tc>
            </w:tr>
          </w:tbl>
          <w:p w14:paraId="6DE8FA94">
            <w:pPr>
              <w:adjustRightInd w:val="0"/>
              <w:snapToGrid w:val="0"/>
              <w:spacing w:line="300" w:lineRule="auto"/>
              <w:ind w:left="0" w:leftChars="0" w:firstLine="522" w:firstLineChars="200"/>
              <w:rPr>
                <w:rFonts w:hint="eastAsia"/>
                <w:b/>
                <w:bCs/>
                <w:spacing w:val="10"/>
                <w:highlight w:val="none"/>
              </w:rPr>
            </w:pPr>
            <w:r>
              <w:rPr>
                <w:rFonts w:hint="eastAsia"/>
                <w:b/>
                <w:bCs/>
                <w:spacing w:val="10"/>
                <w:highlight w:val="none"/>
              </w:rPr>
              <w:t>二级活性炭吸附装置活性炭更换频次说明：</w:t>
            </w:r>
          </w:p>
          <w:p w14:paraId="5359F36C">
            <w:pPr>
              <w:adjustRightInd w:val="0"/>
              <w:snapToGrid w:val="0"/>
              <w:spacing w:line="300" w:lineRule="auto"/>
              <w:ind w:left="0" w:leftChars="0" w:firstLine="520" w:firstLineChars="200"/>
              <w:rPr>
                <w:rFonts w:hint="eastAsia"/>
                <w:spacing w:val="10"/>
                <w:highlight w:val="none"/>
              </w:rPr>
            </w:pPr>
            <w:r>
              <w:rPr>
                <w:rFonts w:hint="eastAsia"/>
                <w:spacing w:val="10"/>
                <w:highlight w:val="none"/>
              </w:rPr>
              <w:t>由上述分析可知，“二级活性炭吸附</w:t>
            </w:r>
            <w:r>
              <w:rPr>
                <w:rFonts w:hint="eastAsia"/>
                <w:spacing w:val="10"/>
                <w:highlight w:val="none"/>
                <w:lang w:val="en-US" w:eastAsia="zh-CN"/>
              </w:rPr>
              <w:t>装置</w:t>
            </w:r>
            <w:r>
              <w:rPr>
                <w:rFonts w:hint="eastAsia"/>
                <w:spacing w:val="10"/>
                <w:highlight w:val="none"/>
              </w:rPr>
              <w:t>”对挥发性有机物的削减量为</w:t>
            </w:r>
            <w:r>
              <w:rPr>
                <w:rFonts w:hint="eastAsia"/>
                <w:spacing w:val="10"/>
                <w:highlight w:val="none"/>
                <w:lang w:val="en-US" w:eastAsia="zh-CN"/>
              </w:rPr>
              <w:t>3.557</w:t>
            </w:r>
            <w:r>
              <w:rPr>
                <w:rFonts w:hint="eastAsia"/>
                <w:spacing w:val="10"/>
                <w:highlight w:val="none"/>
              </w:rPr>
              <w:t>t/a。活性炭箱体每块活性炭体积为0.1×0.1×0.1=0.001m</w:t>
            </w:r>
            <w:r>
              <w:rPr>
                <w:rFonts w:hint="eastAsia"/>
                <w:spacing w:val="10"/>
                <w:highlight w:val="none"/>
                <w:vertAlign w:val="superscript"/>
              </w:rPr>
              <w:t>3</w:t>
            </w:r>
            <w:r>
              <w:rPr>
                <w:rFonts w:hint="eastAsia"/>
                <w:spacing w:val="10"/>
                <w:highlight w:val="none"/>
              </w:rPr>
              <w:t xml:space="preserve"> ，二级箱体设计填充量为</w:t>
            </w:r>
            <w:r>
              <w:rPr>
                <w:rFonts w:hint="eastAsia"/>
                <w:spacing w:val="10"/>
                <w:highlight w:val="none"/>
                <w:lang w:val="en-US" w:eastAsia="zh-CN"/>
              </w:rPr>
              <w:t>3456</w:t>
            </w:r>
            <w:r>
              <w:rPr>
                <w:rFonts w:hint="eastAsia"/>
                <w:spacing w:val="10"/>
                <w:highlight w:val="none"/>
              </w:rPr>
              <w:t>×2=</w:t>
            </w:r>
            <w:r>
              <w:rPr>
                <w:rFonts w:hint="eastAsia"/>
                <w:spacing w:val="10"/>
                <w:highlight w:val="none"/>
                <w:lang w:val="en-US" w:eastAsia="zh-CN"/>
              </w:rPr>
              <w:t>6912</w:t>
            </w:r>
            <w:r>
              <w:rPr>
                <w:rFonts w:hint="eastAsia"/>
                <w:spacing w:val="10"/>
                <w:highlight w:val="none"/>
              </w:rPr>
              <w:t>块活性炭，按蜂窝状活性炭密度为 0.60g/cm</w:t>
            </w:r>
            <w:r>
              <w:rPr>
                <w:rFonts w:hint="eastAsia"/>
                <w:spacing w:val="10"/>
                <w:highlight w:val="none"/>
                <w:vertAlign w:val="superscript"/>
              </w:rPr>
              <w:t>3</w:t>
            </w:r>
            <w:r>
              <w:rPr>
                <w:rFonts w:hint="eastAsia"/>
                <w:spacing w:val="10"/>
                <w:highlight w:val="none"/>
              </w:rPr>
              <w:t>，折算为</w:t>
            </w:r>
            <w:r>
              <w:rPr>
                <w:rFonts w:hint="eastAsia"/>
                <w:spacing w:val="10"/>
                <w:highlight w:val="none"/>
                <w:lang w:val="en-US" w:eastAsia="zh-CN"/>
              </w:rPr>
              <w:t>4.148</w:t>
            </w:r>
            <w:r>
              <w:rPr>
                <w:rFonts w:hint="eastAsia"/>
                <w:spacing w:val="10"/>
                <w:highlight w:val="none"/>
              </w:rPr>
              <w:t>t活性炭。废气处理设施的二级活性炭更换频次分别为</w:t>
            </w:r>
            <w:r>
              <w:rPr>
                <w:rFonts w:hint="eastAsia"/>
                <w:spacing w:val="10"/>
                <w:highlight w:val="none"/>
                <w:lang w:val="en-US" w:eastAsia="zh-CN"/>
              </w:rPr>
              <w:t>6</w:t>
            </w:r>
            <w:r>
              <w:rPr>
                <w:rFonts w:hint="eastAsia"/>
                <w:spacing w:val="10"/>
                <w:highlight w:val="none"/>
              </w:rPr>
              <w:t>次/</w:t>
            </w:r>
            <w:r>
              <w:rPr>
                <w:rFonts w:hint="eastAsia"/>
                <w:spacing w:val="10"/>
                <w:highlight w:val="none"/>
                <w:lang w:val="en-US" w:eastAsia="zh-CN"/>
              </w:rPr>
              <w:t>年</w:t>
            </w:r>
            <w:r>
              <w:rPr>
                <w:rFonts w:hint="eastAsia"/>
                <w:spacing w:val="10"/>
                <w:highlight w:val="none"/>
                <w:lang w:eastAsia="zh-CN"/>
              </w:rPr>
              <w:t>，</w:t>
            </w:r>
            <w:r>
              <w:rPr>
                <w:rFonts w:hint="eastAsia"/>
                <w:spacing w:val="10"/>
                <w:highlight w:val="none"/>
                <w:lang w:val="en-US" w:eastAsia="zh-CN"/>
              </w:rPr>
              <w:t>2个月更换一次，</w:t>
            </w:r>
            <w:r>
              <w:rPr>
                <w:rFonts w:hint="eastAsia"/>
                <w:spacing w:val="10"/>
                <w:highlight w:val="none"/>
              </w:rPr>
              <w:t>则废气处理设施需更换的活性炭量约为</w:t>
            </w:r>
            <w:r>
              <w:rPr>
                <w:rFonts w:hint="eastAsia"/>
                <w:spacing w:val="10"/>
                <w:highlight w:val="none"/>
                <w:lang w:val="en-US" w:eastAsia="zh-CN"/>
              </w:rPr>
              <w:t>24.888</w:t>
            </w:r>
            <w:r>
              <w:rPr>
                <w:rFonts w:hint="eastAsia"/>
                <w:spacing w:val="10"/>
                <w:highlight w:val="none"/>
              </w:rPr>
              <w:t>t/a。</w:t>
            </w:r>
          </w:p>
          <w:p w14:paraId="3CA2AF32">
            <w:pPr>
              <w:adjustRightInd w:val="0"/>
              <w:snapToGrid w:val="0"/>
              <w:spacing w:line="300" w:lineRule="auto"/>
              <w:ind w:left="0" w:leftChars="0" w:firstLine="520" w:firstLineChars="200"/>
              <w:rPr>
                <w:rFonts w:hint="eastAsia"/>
                <w:spacing w:val="10"/>
                <w:highlight w:val="none"/>
              </w:rPr>
            </w:pPr>
            <w:r>
              <w:rPr>
                <w:rFonts w:hint="eastAsia"/>
                <w:spacing w:val="10"/>
                <w:highlight w:val="none"/>
              </w:rPr>
              <w:t>根据《广东省生态环境厅关于印发工业源挥发性有机物和氮氧化物减排量 核算方法的通知》（粤环函〔2023〕538 号）表 3.3-3 ，建议直接将“活性炭年更换量×活性炭吸附比例 ”（活性炭年更换量优先以危废转移量为依据，吸附比例建议取值15%）作为废气处理设施 VOCs削减量，由此可以计算出项目废气处理设施VOCs最大削减量为</w:t>
            </w:r>
            <w:r>
              <w:rPr>
                <w:rFonts w:hint="eastAsia"/>
                <w:spacing w:val="10"/>
                <w:highlight w:val="none"/>
                <w:lang w:val="en-US" w:eastAsia="zh-CN"/>
              </w:rPr>
              <w:t>24.888</w:t>
            </w:r>
            <w:r>
              <w:rPr>
                <w:rFonts w:hint="eastAsia"/>
                <w:spacing w:val="10"/>
                <w:highlight w:val="none"/>
              </w:rPr>
              <w:t>t/a×15%=</w:t>
            </w:r>
            <w:r>
              <w:rPr>
                <w:rFonts w:hint="eastAsia"/>
                <w:spacing w:val="10"/>
                <w:highlight w:val="none"/>
                <w:lang w:val="en-US" w:eastAsia="zh-CN"/>
              </w:rPr>
              <w:t>3.733</w:t>
            </w:r>
            <w:r>
              <w:rPr>
                <w:rFonts w:hint="eastAsia"/>
                <w:spacing w:val="10"/>
                <w:highlight w:val="none"/>
              </w:rPr>
              <w:t>t/a大于实际削减量</w:t>
            </w:r>
            <w:r>
              <w:rPr>
                <w:rFonts w:hint="eastAsia"/>
                <w:spacing w:val="10"/>
                <w:highlight w:val="none"/>
                <w:lang w:val="en-US" w:eastAsia="zh-CN"/>
              </w:rPr>
              <w:t>3.557</w:t>
            </w:r>
            <w:r>
              <w:rPr>
                <w:rFonts w:hint="eastAsia"/>
                <w:spacing w:val="10"/>
                <w:highlight w:val="none"/>
              </w:rPr>
              <w:t>t/a。因此项目活性炭更换量和使用的二级活性炭吸附装置可以满足项目VOCs削减量的需求。</w:t>
            </w:r>
          </w:p>
          <w:p w14:paraId="62ECAF68">
            <w:pPr>
              <w:adjustRightInd w:val="0"/>
              <w:snapToGrid w:val="0"/>
              <w:spacing w:line="300" w:lineRule="auto"/>
              <w:ind w:firstLine="520"/>
              <w:rPr>
                <w:spacing w:val="10"/>
                <w:highlight w:val="none"/>
              </w:rPr>
            </w:pPr>
            <w:r>
              <w:rPr>
                <w:rFonts w:hint="eastAsia"/>
                <w:spacing w:val="10"/>
                <w:highlight w:val="none"/>
                <w:lang w:val="en-US" w:eastAsia="zh-CN"/>
              </w:rPr>
              <w:t>另</w:t>
            </w:r>
            <w:r>
              <w:rPr>
                <w:rFonts w:hint="eastAsia"/>
                <w:spacing w:val="10"/>
                <w:highlight w:val="none"/>
              </w:rPr>
              <w:t>根据《排污许可证申请与核发技术规范--专用化学产品制造工业》（HJ1103-2020）附录C 污染防治可行技术参考表，</w:t>
            </w:r>
            <w:r>
              <w:rPr>
                <w:rFonts w:hint="eastAsia"/>
                <w:spacing w:val="10"/>
                <w:highlight w:val="none"/>
                <w:lang w:eastAsia="zh-CN"/>
              </w:rPr>
              <w:t>“</w:t>
            </w:r>
            <w:r>
              <w:rPr>
                <w:rFonts w:hint="eastAsia"/>
                <w:spacing w:val="10"/>
                <w:highlight w:val="none"/>
                <w:lang w:val="en-US" w:eastAsia="zh-CN"/>
              </w:rPr>
              <w:t>袋式除尘</w:t>
            </w:r>
            <w:r>
              <w:rPr>
                <w:rFonts w:hint="eastAsia"/>
                <w:spacing w:val="10"/>
                <w:highlight w:val="none"/>
                <w:lang w:eastAsia="zh-CN"/>
              </w:rPr>
              <w:t>”</w:t>
            </w:r>
            <w:r>
              <w:rPr>
                <w:rFonts w:hint="eastAsia"/>
                <w:spacing w:val="10"/>
                <w:highlight w:val="none"/>
              </w:rPr>
              <w:t>治理颗粒物</w:t>
            </w:r>
            <w:r>
              <w:rPr>
                <w:rFonts w:hint="eastAsia"/>
                <w:spacing w:val="10"/>
                <w:highlight w:val="none"/>
                <w:lang w:val="en-US" w:eastAsia="zh-CN"/>
              </w:rPr>
              <w:t>和</w:t>
            </w:r>
            <w:r>
              <w:rPr>
                <w:rFonts w:hint="eastAsia"/>
                <w:spacing w:val="10"/>
                <w:highlight w:val="none"/>
              </w:rPr>
              <w:t>“活性炭吸附”治理挥发性有机物，属可行技术。</w:t>
            </w:r>
          </w:p>
          <w:p w14:paraId="5D6C4885">
            <w:pPr>
              <w:adjustRightInd w:val="0"/>
              <w:snapToGrid w:val="0"/>
              <w:spacing w:line="300" w:lineRule="auto"/>
              <w:ind w:firstLine="522"/>
              <w:rPr>
                <w:b/>
                <w:bCs/>
                <w:spacing w:val="10"/>
              </w:rPr>
            </w:pPr>
            <w:r>
              <w:rPr>
                <w:b/>
                <w:bCs/>
                <w:spacing w:val="10"/>
              </w:rPr>
              <w:t>3、非正常工况分析</w:t>
            </w:r>
          </w:p>
          <w:p w14:paraId="7B9D2E6F">
            <w:pPr>
              <w:adjustRightInd w:val="0"/>
              <w:snapToGrid w:val="0"/>
              <w:spacing w:line="300" w:lineRule="auto"/>
              <w:ind w:firstLine="520"/>
              <w:rPr>
                <w:spacing w:val="10"/>
              </w:rPr>
            </w:pPr>
            <w:r>
              <w:rPr>
                <w:spacing w:val="10"/>
              </w:rPr>
              <w:t>非正常情况排放是指生产过程中设备开停、检修、工艺设备运作异常等非正常工况下的污染物排放以及污染物排放控制达不到应有效率等情况下的污染物排放。</w:t>
            </w:r>
            <w:r>
              <w:rPr>
                <w:rFonts w:hint="eastAsia"/>
                <w:spacing w:val="10"/>
              </w:rPr>
              <w:t>在废气治理措施失效的情况下，项目产生的有机废气与正常工况相比排放量较大。因此要求在治理措施失效的情况下及时暂停废气的排放，立即对失效废气措施进行维修或替换，在保证治理措施恢复正常且废气排放达标的情况下才能排放。在采取以上措施后，对大气环境影响较小。</w:t>
            </w:r>
          </w:p>
          <w:p w14:paraId="43B6C66B">
            <w:pPr>
              <w:widowControl w:val="0"/>
              <w:numPr>
                <w:ilvl w:val="0"/>
                <w:numId w:val="0"/>
              </w:numPr>
              <w:tabs>
                <w:tab w:val="left" w:pos="6209"/>
              </w:tabs>
              <w:spacing w:line="240" w:lineRule="auto"/>
              <w:jc w:val="center"/>
              <w:rPr>
                <w:rFonts w:hint="default"/>
                <w:b/>
                <w:bCs/>
                <w:vertAlign w:val="baseline"/>
                <w:lang w:val="en-US" w:eastAsia="zh-CN"/>
              </w:rPr>
            </w:pPr>
            <w:r>
              <w:rPr>
                <w:rFonts w:hint="eastAsia"/>
                <w:b/>
                <w:bCs/>
                <w:vertAlign w:val="baseline"/>
                <w:lang w:val="en-US" w:eastAsia="zh-CN"/>
              </w:rPr>
              <w:t>表4-7 大气污染物非正常工况排放情况表</w:t>
            </w:r>
          </w:p>
          <w:tbl>
            <w:tblPr>
              <w:tblStyle w:val="31"/>
              <w:tblW w:w="8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835"/>
              <w:gridCol w:w="745"/>
              <w:gridCol w:w="1111"/>
              <w:gridCol w:w="894"/>
              <w:gridCol w:w="938"/>
              <w:gridCol w:w="765"/>
              <w:gridCol w:w="632"/>
              <w:gridCol w:w="1592"/>
            </w:tblGrid>
            <w:tr w14:paraId="43AB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85F5">
                  <w:pPr>
                    <w:adjustRightInd w:val="0"/>
                    <w:snapToGrid w:val="0"/>
                    <w:spacing w:line="240" w:lineRule="auto"/>
                    <w:ind w:firstLine="0" w:firstLineChars="0"/>
                    <w:jc w:val="center"/>
                    <w:rPr>
                      <w:rFonts w:hint="default"/>
                      <w:b/>
                      <w:bCs w:val="0"/>
                      <w:sz w:val="21"/>
                      <w:szCs w:val="21"/>
                      <w:lang w:val="en-US" w:eastAsia="zh-CN"/>
                    </w:rPr>
                  </w:pPr>
                  <w:r>
                    <w:rPr>
                      <w:rFonts w:hint="eastAsia"/>
                      <w:b/>
                      <w:bCs w:val="0"/>
                      <w:sz w:val="21"/>
                      <w:szCs w:val="21"/>
                      <w:lang w:val="en-US" w:eastAsia="zh-CN"/>
                    </w:rPr>
                    <w:t>序号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FD94">
                  <w:pPr>
                    <w:adjustRightInd w:val="0"/>
                    <w:snapToGrid w:val="0"/>
                    <w:spacing w:line="240" w:lineRule="auto"/>
                    <w:ind w:firstLine="0" w:firstLineChars="0"/>
                    <w:jc w:val="center"/>
                    <w:rPr>
                      <w:rFonts w:hint="default"/>
                      <w:b/>
                      <w:bCs w:val="0"/>
                      <w:sz w:val="21"/>
                      <w:szCs w:val="21"/>
                      <w:lang w:val="en-US" w:eastAsia="zh-CN"/>
                    </w:rPr>
                  </w:pPr>
                  <w:r>
                    <w:rPr>
                      <w:rFonts w:hint="eastAsia"/>
                      <w:b/>
                      <w:bCs w:val="0"/>
                      <w:sz w:val="21"/>
                      <w:szCs w:val="21"/>
                      <w:lang w:val="en-US" w:eastAsia="zh-CN"/>
                    </w:rPr>
                    <w:t>非正常源</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FD3A">
                  <w:pPr>
                    <w:adjustRightInd w:val="0"/>
                    <w:snapToGrid w:val="0"/>
                    <w:spacing w:line="240" w:lineRule="auto"/>
                    <w:ind w:firstLine="0" w:firstLineChars="0"/>
                    <w:jc w:val="center"/>
                    <w:rPr>
                      <w:rFonts w:hint="default"/>
                      <w:b/>
                      <w:bCs w:val="0"/>
                      <w:sz w:val="21"/>
                      <w:szCs w:val="21"/>
                      <w:lang w:val="en-US" w:eastAsia="zh-CN"/>
                    </w:rPr>
                  </w:pPr>
                  <w:r>
                    <w:rPr>
                      <w:rFonts w:hint="eastAsia"/>
                      <w:b/>
                      <w:bCs w:val="0"/>
                      <w:sz w:val="21"/>
                      <w:szCs w:val="21"/>
                      <w:lang w:val="en-US" w:eastAsia="zh-CN"/>
                    </w:rPr>
                    <w:t>非正常排放原因</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1A5A">
                  <w:pPr>
                    <w:adjustRightInd w:val="0"/>
                    <w:snapToGrid w:val="0"/>
                    <w:spacing w:line="240" w:lineRule="auto"/>
                    <w:ind w:firstLine="0" w:firstLineChars="0"/>
                    <w:jc w:val="center"/>
                    <w:rPr>
                      <w:rFonts w:hint="default"/>
                      <w:b/>
                      <w:bCs w:val="0"/>
                      <w:sz w:val="21"/>
                      <w:szCs w:val="21"/>
                      <w:lang w:val="en-US" w:eastAsia="zh-CN"/>
                    </w:rPr>
                  </w:pPr>
                  <w:r>
                    <w:rPr>
                      <w:rFonts w:hint="eastAsia"/>
                      <w:b/>
                      <w:bCs w:val="0"/>
                      <w:sz w:val="21"/>
                      <w:szCs w:val="21"/>
                      <w:lang w:val="en-US" w:eastAsia="zh-CN"/>
                    </w:rPr>
                    <w:t>污染物</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3779">
                  <w:pPr>
                    <w:adjustRightInd w:val="0"/>
                    <w:snapToGrid w:val="0"/>
                    <w:spacing w:line="240" w:lineRule="auto"/>
                    <w:ind w:firstLine="0" w:firstLineChars="0"/>
                    <w:jc w:val="center"/>
                    <w:rPr>
                      <w:rFonts w:hint="default"/>
                      <w:b/>
                      <w:bCs w:val="0"/>
                      <w:sz w:val="21"/>
                      <w:szCs w:val="21"/>
                      <w:lang w:val="en-US" w:eastAsia="zh-CN"/>
                    </w:rPr>
                  </w:pPr>
                  <w:r>
                    <w:rPr>
                      <w:rFonts w:hint="eastAsia"/>
                      <w:b/>
                      <w:bCs w:val="0"/>
                      <w:sz w:val="21"/>
                      <w:szCs w:val="21"/>
                      <w:lang w:val="en-US" w:eastAsia="zh-CN"/>
                    </w:rPr>
                    <w:t>非正常排放速</w:t>
                  </w:r>
                  <w:r>
                    <w:rPr>
                      <w:rFonts w:hint="default"/>
                      <w:b/>
                      <w:bCs w:val="0"/>
                      <w:sz w:val="21"/>
                      <w:szCs w:val="21"/>
                      <w:lang w:val="en-US" w:eastAsia="zh-CN"/>
                    </w:rPr>
                    <w:t xml:space="preserve"> </w:t>
                  </w:r>
                  <w:r>
                    <w:rPr>
                      <w:rFonts w:hint="eastAsia"/>
                      <w:b/>
                      <w:bCs w:val="0"/>
                      <w:sz w:val="21"/>
                      <w:szCs w:val="21"/>
                      <w:lang w:val="en-US" w:eastAsia="zh-CN"/>
                    </w:rPr>
                    <w:t>率（</w:t>
                  </w:r>
                  <w:r>
                    <w:rPr>
                      <w:rFonts w:hint="default"/>
                      <w:b/>
                      <w:bCs w:val="0"/>
                      <w:sz w:val="21"/>
                      <w:szCs w:val="21"/>
                      <w:lang w:val="en-US" w:eastAsia="zh-CN"/>
                    </w:rPr>
                    <w:t>kg/h)</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5A66">
                  <w:pPr>
                    <w:adjustRightInd w:val="0"/>
                    <w:snapToGrid w:val="0"/>
                    <w:spacing w:line="240" w:lineRule="auto"/>
                    <w:ind w:firstLine="0" w:firstLineChars="0"/>
                    <w:jc w:val="center"/>
                    <w:rPr>
                      <w:rFonts w:hint="default"/>
                      <w:b/>
                      <w:bCs w:val="0"/>
                      <w:sz w:val="21"/>
                      <w:szCs w:val="21"/>
                      <w:lang w:val="en-US" w:eastAsia="zh-CN"/>
                    </w:rPr>
                  </w:pPr>
                  <w:r>
                    <w:rPr>
                      <w:rFonts w:hint="eastAsia"/>
                      <w:b/>
                      <w:bCs w:val="0"/>
                      <w:sz w:val="21"/>
                      <w:szCs w:val="21"/>
                      <w:lang w:val="en-US" w:eastAsia="zh-CN"/>
                    </w:rPr>
                    <w:t>非正常排放浓度</w:t>
                  </w:r>
                  <w:r>
                    <w:rPr>
                      <w:rFonts w:hint="default"/>
                      <w:b/>
                      <w:bCs w:val="0"/>
                      <w:sz w:val="21"/>
                      <w:szCs w:val="21"/>
                      <w:lang w:val="en-US" w:eastAsia="zh-CN"/>
                    </w:rPr>
                    <w:t>(mg/m</w:t>
                  </w:r>
                  <w:r>
                    <w:rPr>
                      <w:rFonts w:hint="default"/>
                      <w:b/>
                      <w:bCs w:val="0"/>
                      <w:sz w:val="21"/>
                      <w:szCs w:val="21"/>
                      <w:vertAlign w:val="superscript"/>
                      <w:lang w:val="en-US" w:eastAsia="zh-CN"/>
                    </w:rPr>
                    <w:t>3</w:t>
                  </w:r>
                  <w:r>
                    <w:rPr>
                      <w:rFonts w:hint="default"/>
                      <w:b/>
                      <w:bCs w:val="0"/>
                      <w:sz w:val="21"/>
                      <w:szCs w:val="21"/>
                      <w:lang w:val="en-US" w:eastAsia="zh-CN"/>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ABB0">
                  <w:pPr>
                    <w:adjustRightInd w:val="0"/>
                    <w:snapToGrid w:val="0"/>
                    <w:spacing w:line="240" w:lineRule="auto"/>
                    <w:ind w:firstLine="0" w:firstLineChars="0"/>
                    <w:jc w:val="center"/>
                    <w:rPr>
                      <w:rFonts w:hint="default"/>
                      <w:b/>
                      <w:bCs w:val="0"/>
                      <w:sz w:val="21"/>
                      <w:szCs w:val="21"/>
                      <w:lang w:val="en-US" w:eastAsia="zh-CN"/>
                    </w:rPr>
                  </w:pPr>
                  <w:r>
                    <w:rPr>
                      <w:rFonts w:hint="eastAsia"/>
                      <w:b/>
                      <w:bCs w:val="0"/>
                      <w:sz w:val="21"/>
                      <w:szCs w:val="21"/>
                      <w:lang w:val="en-US" w:eastAsia="zh-CN"/>
                    </w:rPr>
                    <w:t>单次持续时间</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B4EE">
                  <w:pPr>
                    <w:adjustRightInd w:val="0"/>
                    <w:snapToGrid w:val="0"/>
                    <w:spacing w:line="240" w:lineRule="auto"/>
                    <w:ind w:firstLine="0" w:firstLineChars="0"/>
                    <w:jc w:val="center"/>
                    <w:rPr>
                      <w:rFonts w:hint="default"/>
                      <w:b/>
                      <w:bCs w:val="0"/>
                      <w:sz w:val="21"/>
                      <w:szCs w:val="21"/>
                      <w:lang w:val="en-US" w:eastAsia="zh-CN"/>
                    </w:rPr>
                  </w:pPr>
                  <w:r>
                    <w:rPr>
                      <w:rFonts w:hint="eastAsia"/>
                      <w:b/>
                      <w:bCs w:val="0"/>
                      <w:sz w:val="21"/>
                      <w:szCs w:val="21"/>
                      <w:lang w:val="en-US" w:eastAsia="zh-CN"/>
                    </w:rPr>
                    <w:t>发生频次</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AE98">
                  <w:pPr>
                    <w:adjustRightInd w:val="0"/>
                    <w:snapToGrid w:val="0"/>
                    <w:spacing w:line="240" w:lineRule="auto"/>
                    <w:ind w:firstLine="0" w:firstLineChars="0"/>
                    <w:jc w:val="center"/>
                    <w:rPr>
                      <w:rFonts w:hint="default"/>
                      <w:b/>
                      <w:bCs w:val="0"/>
                      <w:sz w:val="21"/>
                      <w:szCs w:val="21"/>
                      <w:lang w:val="en-US" w:eastAsia="zh-CN"/>
                    </w:rPr>
                  </w:pPr>
                  <w:r>
                    <w:rPr>
                      <w:rFonts w:hint="eastAsia"/>
                      <w:b/>
                      <w:bCs w:val="0"/>
                      <w:sz w:val="21"/>
                      <w:szCs w:val="21"/>
                      <w:lang w:val="en-US" w:eastAsia="zh-CN"/>
                    </w:rPr>
                    <w:t>控制措施</w:t>
                  </w:r>
                </w:p>
              </w:tc>
            </w:tr>
            <w:tr w14:paraId="5DF7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DB95">
                  <w:pPr>
                    <w:adjustRightInd w:val="0"/>
                    <w:snapToGrid w:val="0"/>
                    <w:spacing w:line="240" w:lineRule="auto"/>
                    <w:ind w:firstLine="0" w:firstLineChars="0"/>
                    <w:jc w:val="center"/>
                    <w:rPr>
                      <w:rFonts w:hint="default"/>
                      <w:bCs/>
                      <w:sz w:val="21"/>
                      <w:szCs w:val="21"/>
                      <w:lang w:val="en-US" w:eastAsia="zh-CN"/>
                    </w:rPr>
                  </w:pPr>
                  <w:r>
                    <w:rPr>
                      <w:rFonts w:hint="eastAsia"/>
                      <w:bCs/>
                      <w:sz w:val="21"/>
                      <w:szCs w:val="21"/>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A0DF">
                  <w:pPr>
                    <w:adjustRightInd w:val="0"/>
                    <w:snapToGrid w:val="0"/>
                    <w:spacing w:line="240" w:lineRule="auto"/>
                    <w:ind w:firstLine="0" w:firstLineChars="0"/>
                    <w:jc w:val="center"/>
                    <w:rPr>
                      <w:rFonts w:hint="default"/>
                      <w:bCs/>
                      <w:sz w:val="21"/>
                      <w:szCs w:val="21"/>
                      <w:lang w:val="en-US" w:eastAsia="zh-CN"/>
                    </w:rPr>
                  </w:pPr>
                  <w:r>
                    <w:rPr>
                      <w:rFonts w:hint="default"/>
                      <w:bCs/>
                      <w:sz w:val="21"/>
                      <w:szCs w:val="21"/>
                      <w:lang w:val="en-US" w:eastAsia="zh-CN"/>
                    </w:rPr>
                    <w:t>DA001</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D1CF8">
                  <w:pPr>
                    <w:adjustRightInd w:val="0"/>
                    <w:snapToGrid w:val="0"/>
                    <w:spacing w:line="240" w:lineRule="auto"/>
                    <w:ind w:firstLine="0" w:firstLineChars="0"/>
                    <w:jc w:val="center"/>
                    <w:rPr>
                      <w:rFonts w:hint="default"/>
                      <w:bCs/>
                      <w:sz w:val="21"/>
                      <w:szCs w:val="21"/>
                      <w:lang w:val="en-US" w:eastAsia="zh-CN"/>
                    </w:rPr>
                  </w:pPr>
                  <w:r>
                    <w:rPr>
                      <w:rFonts w:hint="eastAsia"/>
                      <w:bCs/>
                      <w:sz w:val="21"/>
                      <w:szCs w:val="21"/>
                      <w:lang w:val="en-US" w:eastAsia="zh-CN"/>
                    </w:rPr>
                    <w:t>废气治理措施失效</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3120">
                  <w:pPr>
                    <w:adjustRightInd w:val="0"/>
                    <w:snapToGrid w:val="0"/>
                    <w:spacing w:line="240" w:lineRule="auto"/>
                    <w:ind w:firstLine="0" w:firstLineChars="0"/>
                    <w:jc w:val="center"/>
                    <w:rPr>
                      <w:rFonts w:hint="default"/>
                      <w:bCs/>
                      <w:sz w:val="21"/>
                      <w:szCs w:val="21"/>
                      <w:lang w:val="en-US" w:eastAsia="zh-CN"/>
                    </w:rPr>
                  </w:pPr>
                  <w:r>
                    <w:rPr>
                      <w:rFonts w:hint="eastAsia"/>
                      <w:bCs/>
                      <w:sz w:val="21"/>
                      <w:szCs w:val="21"/>
                      <w:lang w:val="en-US" w:eastAsia="zh-CN"/>
                    </w:rPr>
                    <w:t>颗粒物</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341A">
                  <w:pPr>
                    <w:adjustRightInd w:val="0"/>
                    <w:snapToGrid w:val="0"/>
                    <w:spacing w:line="240" w:lineRule="auto"/>
                    <w:ind w:firstLine="0" w:firstLineChars="0"/>
                    <w:jc w:val="center"/>
                    <w:rPr>
                      <w:rFonts w:hint="default"/>
                      <w:bCs/>
                      <w:sz w:val="21"/>
                      <w:szCs w:val="21"/>
                      <w:lang w:val="en-US" w:eastAsia="zh-CN"/>
                    </w:rPr>
                  </w:pPr>
                  <w:r>
                    <w:rPr>
                      <w:rFonts w:hint="default"/>
                      <w:bCs/>
                      <w:sz w:val="21"/>
                      <w:szCs w:val="21"/>
                      <w:lang w:val="en-US" w:eastAsia="zh-CN"/>
                    </w:rPr>
                    <w:t xml:space="preserve">0.011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6C9A">
                  <w:pPr>
                    <w:adjustRightInd w:val="0"/>
                    <w:snapToGrid w:val="0"/>
                    <w:spacing w:line="240" w:lineRule="auto"/>
                    <w:ind w:firstLine="0" w:firstLineChars="0"/>
                    <w:jc w:val="center"/>
                    <w:rPr>
                      <w:rFonts w:hint="default"/>
                      <w:bCs/>
                      <w:sz w:val="21"/>
                      <w:szCs w:val="21"/>
                      <w:lang w:val="en-US" w:eastAsia="zh-CN"/>
                    </w:rPr>
                  </w:pPr>
                  <w:r>
                    <w:rPr>
                      <w:rFonts w:hint="default"/>
                      <w:bCs/>
                      <w:sz w:val="21"/>
                      <w:szCs w:val="21"/>
                      <w:lang w:val="en-US" w:eastAsia="zh-CN"/>
                    </w:rPr>
                    <w:t>5.6875</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6ABEA">
                  <w:pPr>
                    <w:adjustRightInd w:val="0"/>
                    <w:snapToGrid w:val="0"/>
                    <w:spacing w:line="240" w:lineRule="auto"/>
                    <w:ind w:firstLine="0" w:firstLineChars="0"/>
                    <w:jc w:val="center"/>
                    <w:rPr>
                      <w:rFonts w:hint="default"/>
                      <w:bCs/>
                      <w:sz w:val="21"/>
                      <w:szCs w:val="21"/>
                      <w:lang w:val="en-US" w:eastAsia="zh-CN"/>
                    </w:rPr>
                  </w:pPr>
                  <w:r>
                    <w:rPr>
                      <w:rFonts w:hint="default"/>
                      <w:bCs/>
                      <w:sz w:val="21"/>
                      <w:szCs w:val="21"/>
                      <w:lang w:val="en-US" w:eastAsia="zh-CN"/>
                    </w:rPr>
                    <w:t>0.5h</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3908E">
                  <w:pPr>
                    <w:adjustRightInd w:val="0"/>
                    <w:snapToGrid w:val="0"/>
                    <w:spacing w:line="240" w:lineRule="auto"/>
                    <w:ind w:firstLine="0" w:firstLineChars="0"/>
                    <w:jc w:val="center"/>
                    <w:rPr>
                      <w:rFonts w:hint="default"/>
                      <w:bCs/>
                      <w:sz w:val="21"/>
                      <w:szCs w:val="21"/>
                      <w:lang w:val="en-US" w:eastAsia="zh-CN"/>
                    </w:rPr>
                  </w:pPr>
                  <w:r>
                    <w:rPr>
                      <w:rFonts w:hint="default"/>
                      <w:bCs/>
                      <w:sz w:val="21"/>
                      <w:szCs w:val="21"/>
                      <w:lang w:val="en-US" w:eastAsia="zh-CN"/>
                    </w:rPr>
                    <w:t xml:space="preserve">1  </w:t>
                  </w:r>
                  <w:r>
                    <w:rPr>
                      <w:rFonts w:hint="eastAsia"/>
                      <w:bCs/>
                      <w:sz w:val="21"/>
                      <w:szCs w:val="21"/>
                      <w:lang w:val="en-US" w:eastAsia="zh-CN"/>
                    </w:rPr>
                    <w:t>年</w:t>
                  </w:r>
                  <w:r>
                    <w:rPr>
                      <w:rFonts w:hint="default"/>
                      <w:bCs/>
                      <w:sz w:val="21"/>
                      <w:szCs w:val="21"/>
                      <w:lang w:val="en-US" w:eastAsia="zh-CN"/>
                    </w:rPr>
                    <w:t xml:space="preserve">/ </w:t>
                  </w:r>
                  <w:r>
                    <w:rPr>
                      <w:rFonts w:hint="eastAsia"/>
                      <w:bCs/>
                      <w:sz w:val="21"/>
                      <w:szCs w:val="21"/>
                      <w:lang w:val="en-US" w:eastAsia="zh-CN"/>
                    </w:rPr>
                    <w:t>次</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E05B2">
                  <w:pPr>
                    <w:adjustRightInd w:val="0"/>
                    <w:snapToGrid w:val="0"/>
                    <w:spacing w:line="240" w:lineRule="auto"/>
                    <w:ind w:firstLine="0" w:firstLineChars="0"/>
                    <w:jc w:val="left"/>
                    <w:rPr>
                      <w:rFonts w:hint="default"/>
                      <w:bCs/>
                      <w:sz w:val="21"/>
                      <w:szCs w:val="21"/>
                      <w:lang w:val="en-US" w:eastAsia="zh-CN"/>
                    </w:rPr>
                  </w:pPr>
                  <w:r>
                    <w:rPr>
                      <w:rFonts w:hint="eastAsia"/>
                      <w:bCs/>
                      <w:sz w:val="21"/>
                      <w:szCs w:val="21"/>
                      <w:lang w:val="en-US" w:eastAsia="zh-CN"/>
                    </w:rPr>
                    <w:t>废气收集、处理系统发生故障或检修时，对应的生产工艺设备应停止运行，待检修完毕后同步投入使用。</w:t>
                  </w:r>
                </w:p>
              </w:tc>
            </w:tr>
            <w:tr w14:paraId="23A0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0ADB">
                  <w:pPr>
                    <w:adjustRightInd w:val="0"/>
                    <w:snapToGrid w:val="0"/>
                    <w:spacing w:line="240" w:lineRule="auto"/>
                    <w:ind w:firstLine="0" w:firstLineChars="0"/>
                    <w:jc w:val="center"/>
                    <w:rPr>
                      <w:rFonts w:hint="default"/>
                      <w:bCs/>
                      <w:sz w:val="21"/>
                      <w:szCs w:val="21"/>
                      <w:lang w:val="en-US" w:eastAsia="zh-CN"/>
                    </w:rPr>
                  </w:pPr>
                  <w:r>
                    <w:rPr>
                      <w:rFonts w:hint="eastAsia"/>
                      <w:bCs/>
                      <w:sz w:val="21"/>
                      <w:szCs w:val="21"/>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4531">
                  <w:pPr>
                    <w:adjustRightInd w:val="0"/>
                    <w:snapToGrid w:val="0"/>
                    <w:spacing w:line="240" w:lineRule="auto"/>
                    <w:ind w:firstLine="0" w:firstLineChars="0"/>
                    <w:jc w:val="center"/>
                    <w:rPr>
                      <w:rFonts w:hint="default"/>
                      <w:bCs/>
                      <w:sz w:val="21"/>
                      <w:szCs w:val="21"/>
                      <w:lang w:val="en-US" w:eastAsia="zh-CN"/>
                    </w:rPr>
                  </w:pPr>
                  <w:r>
                    <w:rPr>
                      <w:rFonts w:hint="eastAsia"/>
                      <w:bCs/>
                      <w:sz w:val="21"/>
                      <w:szCs w:val="21"/>
                      <w:lang w:val="en-US" w:eastAsia="zh-CN"/>
                    </w:rPr>
                    <w:t>DA002</w:t>
                  </w: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E9EF0">
                  <w:pPr>
                    <w:adjustRightInd w:val="0"/>
                    <w:snapToGrid w:val="0"/>
                    <w:spacing w:line="240" w:lineRule="auto"/>
                    <w:ind w:firstLine="0" w:firstLineChars="0"/>
                    <w:jc w:val="center"/>
                    <w:rPr>
                      <w:rFonts w:hint="default"/>
                      <w:bCs/>
                      <w:sz w:val="21"/>
                      <w:szCs w:val="21"/>
                      <w:lang w:val="en-US" w:eastAsia="zh-CN"/>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856A">
                  <w:pPr>
                    <w:adjustRightInd w:val="0"/>
                    <w:snapToGrid w:val="0"/>
                    <w:spacing w:line="240" w:lineRule="auto"/>
                    <w:ind w:firstLine="0" w:firstLineChars="0"/>
                    <w:jc w:val="center"/>
                    <w:rPr>
                      <w:rFonts w:hint="default"/>
                      <w:bCs/>
                      <w:sz w:val="21"/>
                      <w:szCs w:val="21"/>
                      <w:lang w:val="en-US" w:eastAsia="zh-CN"/>
                    </w:rPr>
                  </w:pPr>
                  <w:r>
                    <w:rPr>
                      <w:rFonts w:hint="eastAsia"/>
                      <w:bCs/>
                      <w:sz w:val="21"/>
                      <w:szCs w:val="21"/>
                      <w:lang w:val="en-US" w:eastAsia="zh-CN"/>
                    </w:rPr>
                    <w:t>非甲烷总烃</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F9DA">
                  <w:pPr>
                    <w:adjustRightInd w:val="0"/>
                    <w:snapToGrid w:val="0"/>
                    <w:spacing w:line="240" w:lineRule="auto"/>
                    <w:ind w:firstLine="0" w:firstLineChars="0"/>
                    <w:jc w:val="center"/>
                    <w:rPr>
                      <w:rFonts w:hint="default"/>
                      <w:bCs/>
                      <w:sz w:val="21"/>
                      <w:szCs w:val="21"/>
                      <w:lang w:val="en-US" w:eastAsia="zh-CN"/>
                    </w:rPr>
                  </w:pPr>
                  <w:r>
                    <w:rPr>
                      <w:rFonts w:hint="default"/>
                      <w:bCs/>
                      <w:sz w:val="21"/>
                      <w:szCs w:val="21"/>
                      <w:lang w:val="en-US" w:eastAsia="zh-CN"/>
                    </w:rPr>
                    <w:t>2.3712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9131">
                  <w:pPr>
                    <w:adjustRightInd w:val="0"/>
                    <w:snapToGrid w:val="0"/>
                    <w:spacing w:line="240" w:lineRule="auto"/>
                    <w:ind w:firstLine="0" w:firstLineChars="0"/>
                    <w:jc w:val="center"/>
                    <w:rPr>
                      <w:rFonts w:hint="default"/>
                      <w:bCs/>
                      <w:sz w:val="21"/>
                      <w:szCs w:val="21"/>
                      <w:lang w:val="en-US" w:eastAsia="zh-CN"/>
                    </w:rPr>
                  </w:pPr>
                  <w:r>
                    <w:rPr>
                      <w:rFonts w:hint="default"/>
                      <w:bCs/>
                      <w:sz w:val="21"/>
                      <w:szCs w:val="21"/>
                      <w:lang w:val="en-US" w:eastAsia="zh-CN"/>
                    </w:rPr>
                    <w:t>118.56</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BC63B">
                  <w:pPr>
                    <w:adjustRightInd w:val="0"/>
                    <w:snapToGrid w:val="0"/>
                    <w:spacing w:line="240" w:lineRule="auto"/>
                    <w:ind w:firstLine="0" w:firstLineChars="0"/>
                    <w:jc w:val="center"/>
                    <w:rPr>
                      <w:rFonts w:hint="default"/>
                      <w:bCs/>
                      <w:sz w:val="21"/>
                      <w:szCs w:val="21"/>
                      <w:lang w:val="en-US" w:eastAsia="zh-CN"/>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72DF2">
                  <w:pPr>
                    <w:adjustRightInd w:val="0"/>
                    <w:snapToGrid w:val="0"/>
                    <w:spacing w:line="240" w:lineRule="auto"/>
                    <w:ind w:firstLine="0" w:firstLineChars="0"/>
                    <w:jc w:val="center"/>
                    <w:rPr>
                      <w:rFonts w:hint="default"/>
                      <w:bCs/>
                      <w:sz w:val="21"/>
                      <w:szCs w:val="21"/>
                      <w:lang w:val="en-US" w:eastAsia="zh-CN"/>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9BADD">
                  <w:pPr>
                    <w:adjustRightInd w:val="0"/>
                    <w:snapToGrid w:val="0"/>
                    <w:spacing w:line="240" w:lineRule="auto"/>
                    <w:ind w:firstLine="0" w:firstLineChars="0"/>
                    <w:jc w:val="center"/>
                    <w:rPr>
                      <w:rFonts w:hint="default"/>
                      <w:bCs/>
                      <w:sz w:val="21"/>
                      <w:szCs w:val="21"/>
                      <w:lang w:val="en-US" w:eastAsia="zh-CN"/>
                    </w:rPr>
                  </w:pPr>
                </w:p>
              </w:tc>
            </w:tr>
          </w:tbl>
          <w:p w14:paraId="33CE5002">
            <w:pPr>
              <w:adjustRightInd w:val="0"/>
              <w:snapToGrid w:val="0"/>
              <w:spacing w:line="300" w:lineRule="auto"/>
              <w:ind w:firstLine="482"/>
              <w:rPr>
                <w:b/>
                <w:bCs/>
                <w:szCs w:val="32"/>
              </w:rPr>
            </w:pPr>
            <w:r>
              <w:rPr>
                <w:b/>
                <w:bCs/>
                <w:szCs w:val="32"/>
              </w:rPr>
              <w:t>3、废气监测计划</w:t>
            </w:r>
          </w:p>
          <w:p w14:paraId="09E82BE3">
            <w:pPr>
              <w:adjustRightInd w:val="0"/>
              <w:snapToGrid w:val="0"/>
              <w:spacing w:line="300" w:lineRule="auto"/>
              <w:ind w:firstLine="520"/>
              <w:rPr>
                <w:spacing w:val="10"/>
              </w:rPr>
            </w:pPr>
            <w:r>
              <w:rPr>
                <w:rFonts w:hint="eastAsia"/>
                <w:spacing w:val="10"/>
              </w:rPr>
              <w:t>参照《排污单位自行监测技术指南 总则》（HJ 819-2017）表 1、《排污许可证申请与核发技术规范 日用化学产品制造工业》（H</w:t>
            </w:r>
            <w:r>
              <w:rPr>
                <w:rFonts w:hint="eastAsia"/>
                <w:spacing w:val="10"/>
                <w:lang w:val="en-US" w:eastAsia="zh-CN"/>
              </w:rPr>
              <w:t>J</w:t>
            </w:r>
            <w:r>
              <w:rPr>
                <w:rFonts w:hint="eastAsia"/>
                <w:spacing w:val="10"/>
              </w:rPr>
              <w:t>1104-2020）表9和表10、《排污许可证申请与核发技术规范 专用化学产品制造工业》（HJ 1103-2020）表20中的相关要求，项目运营期环境监测计划见下表。</w:t>
            </w:r>
          </w:p>
          <w:p w14:paraId="1ED52691">
            <w:pPr>
              <w:spacing w:line="240" w:lineRule="auto"/>
              <w:ind w:firstLine="0" w:firstLineChars="0"/>
              <w:jc w:val="center"/>
              <w:rPr>
                <w:b/>
                <w:bCs/>
                <w:szCs w:val="21"/>
              </w:rPr>
            </w:pPr>
            <w:r>
              <w:rPr>
                <w:b/>
                <w:bCs/>
                <w:szCs w:val="21"/>
              </w:rPr>
              <w:t>表4-</w:t>
            </w:r>
            <w:r>
              <w:rPr>
                <w:rFonts w:hint="eastAsia"/>
                <w:b/>
                <w:bCs/>
                <w:szCs w:val="21"/>
                <w:lang w:val="en-US" w:eastAsia="zh-CN"/>
              </w:rPr>
              <w:t>8</w:t>
            </w:r>
            <w:r>
              <w:rPr>
                <w:b/>
                <w:bCs/>
                <w:szCs w:val="21"/>
              </w:rPr>
              <w:t>废气监测计划</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106"/>
              <w:gridCol w:w="2537"/>
              <w:gridCol w:w="1673"/>
            </w:tblGrid>
            <w:tr w14:paraId="2DE0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4616F259">
                  <w:pPr>
                    <w:spacing w:line="240" w:lineRule="auto"/>
                    <w:ind w:firstLine="0" w:firstLineChars="0"/>
                    <w:jc w:val="center"/>
                    <w:rPr>
                      <w:rFonts w:hint="eastAsia" w:eastAsia="宋体"/>
                      <w:spacing w:val="10"/>
                      <w:sz w:val="21"/>
                      <w:szCs w:val="21"/>
                      <w:lang w:eastAsia="zh-CN"/>
                    </w:rPr>
                  </w:pPr>
                  <w:r>
                    <w:rPr>
                      <w:rFonts w:hint="eastAsia"/>
                      <w:spacing w:val="10"/>
                      <w:sz w:val="21"/>
                      <w:szCs w:val="21"/>
                      <w:lang w:val="en-US" w:eastAsia="zh-CN"/>
                    </w:rPr>
                    <w:t>污染源</w:t>
                  </w:r>
                </w:p>
              </w:tc>
              <w:tc>
                <w:tcPr>
                  <w:tcW w:w="1250" w:type="pct"/>
                  <w:vAlign w:val="center"/>
                </w:tcPr>
                <w:p w14:paraId="59673163">
                  <w:pPr>
                    <w:spacing w:line="240" w:lineRule="auto"/>
                    <w:ind w:firstLine="0" w:firstLineChars="0"/>
                    <w:jc w:val="center"/>
                    <w:rPr>
                      <w:spacing w:val="10"/>
                      <w:sz w:val="21"/>
                      <w:szCs w:val="21"/>
                    </w:rPr>
                  </w:pPr>
                  <w:r>
                    <w:rPr>
                      <w:spacing w:val="10"/>
                      <w:sz w:val="21"/>
                      <w:szCs w:val="21"/>
                    </w:rPr>
                    <w:t>监测点位</w:t>
                  </w:r>
                </w:p>
              </w:tc>
              <w:tc>
                <w:tcPr>
                  <w:tcW w:w="1506" w:type="pct"/>
                  <w:vAlign w:val="center"/>
                </w:tcPr>
                <w:p w14:paraId="70286DD3">
                  <w:pPr>
                    <w:spacing w:line="240" w:lineRule="auto"/>
                    <w:ind w:firstLine="0" w:firstLineChars="0"/>
                    <w:jc w:val="center"/>
                    <w:rPr>
                      <w:spacing w:val="10"/>
                      <w:sz w:val="21"/>
                      <w:szCs w:val="21"/>
                    </w:rPr>
                  </w:pPr>
                  <w:r>
                    <w:rPr>
                      <w:spacing w:val="10"/>
                      <w:sz w:val="21"/>
                      <w:szCs w:val="21"/>
                    </w:rPr>
                    <w:t>监测指标</w:t>
                  </w:r>
                </w:p>
              </w:tc>
              <w:tc>
                <w:tcPr>
                  <w:tcW w:w="993" w:type="pct"/>
                  <w:vAlign w:val="center"/>
                </w:tcPr>
                <w:p w14:paraId="5EDFDF75">
                  <w:pPr>
                    <w:spacing w:line="240" w:lineRule="auto"/>
                    <w:ind w:firstLine="0" w:firstLineChars="0"/>
                    <w:jc w:val="center"/>
                    <w:rPr>
                      <w:spacing w:val="10"/>
                      <w:sz w:val="21"/>
                      <w:szCs w:val="21"/>
                    </w:rPr>
                  </w:pPr>
                  <w:r>
                    <w:rPr>
                      <w:spacing w:val="10"/>
                      <w:sz w:val="21"/>
                      <w:szCs w:val="21"/>
                    </w:rPr>
                    <w:t>监测频次</w:t>
                  </w:r>
                </w:p>
              </w:tc>
            </w:tr>
            <w:tr w14:paraId="0F3A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0D0D370D">
                  <w:pPr>
                    <w:spacing w:line="240" w:lineRule="auto"/>
                    <w:ind w:firstLine="0" w:firstLineChars="0"/>
                    <w:jc w:val="center"/>
                    <w:rPr>
                      <w:rFonts w:hint="default" w:eastAsia="宋体"/>
                      <w:spacing w:val="10"/>
                      <w:sz w:val="21"/>
                      <w:szCs w:val="21"/>
                      <w:lang w:val="en-US" w:eastAsia="zh-CN"/>
                    </w:rPr>
                  </w:pPr>
                  <w:r>
                    <w:rPr>
                      <w:rFonts w:hint="eastAsia"/>
                      <w:spacing w:val="10"/>
                      <w:sz w:val="21"/>
                      <w:szCs w:val="21"/>
                      <w:lang w:val="en-US" w:eastAsia="zh-CN"/>
                    </w:rPr>
                    <w:t>有组织</w:t>
                  </w:r>
                </w:p>
              </w:tc>
              <w:tc>
                <w:tcPr>
                  <w:tcW w:w="1250" w:type="pct"/>
                  <w:vAlign w:val="center"/>
                </w:tcPr>
                <w:p w14:paraId="7E641F1F">
                  <w:pPr>
                    <w:spacing w:line="240" w:lineRule="auto"/>
                    <w:ind w:firstLine="0" w:firstLineChars="0"/>
                    <w:jc w:val="center"/>
                    <w:rPr>
                      <w:spacing w:val="10"/>
                      <w:sz w:val="21"/>
                      <w:szCs w:val="21"/>
                    </w:rPr>
                  </w:pPr>
                  <w:r>
                    <w:rPr>
                      <w:rFonts w:hint="eastAsia"/>
                      <w:spacing w:val="10"/>
                      <w:sz w:val="21"/>
                      <w:szCs w:val="21"/>
                      <w:lang w:val="en-US" w:eastAsia="zh-CN"/>
                    </w:rPr>
                    <w:t>DA001</w:t>
                  </w:r>
                </w:p>
              </w:tc>
              <w:tc>
                <w:tcPr>
                  <w:tcW w:w="1506" w:type="pct"/>
                  <w:vAlign w:val="center"/>
                </w:tcPr>
                <w:p w14:paraId="40FFEB9A">
                  <w:pPr>
                    <w:spacing w:line="240" w:lineRule="auto"/>
                    <w:ind w:firstLine="0" w:firstLineChars="0"/>
                    <w:jc w:val="center"/>
                    <w:rPr>
                      <w:rFonts w:hint="eastAsia" w:eastAsia="宋体"/>
                      <w:spacing w:val="10"/>
                      <w:sz w:val="21"/>
                      <w:szCs w:val="21"/>
                      <w:lang w:eastAsia="zh-CN"/>
                    </w:rPr>
                  </w:pPr>
                  <w:r>
                    <w:rPr>
                      <w:rFonts w:hint="eastAsia"/>
                      <w:spacing w:val="10"/>
                      <w:sz w:val="21"/>
                      <w:szCs w:val="21"/>
                      <w:lang w:val="en-US" w:eastAsia="zh-CN"/>
                    </w:rPr>
                    <w:t>颗粒物</w:t>
                  </w:r>
                </w:p>
              </w:tc>
              <w:tc>
                <w:tcPr>
                  <w:tcW w:w="993" w:type="pct"/>
                  <w:vAlign w:val="center"/>
                </w:tcPr>
                <w:p w14:paraId="2D69E054">
                  <w:pPr>
                    <w:spacing w:line="240" w:lineRule="auto"/>
                    <w:ind w:firstLine="0" w:firstLineChars="0"/>
                    <w:jc w:val="center"/>
                    <w:rPr>
                      <w:spacing w:val="10"/>
                      <w:sz w:val="21"/>
                      <w:szCs w:val="21"/>
                    </w:rPr>
                  </w:pPr>
                  <w:r>
                    <w:rPr>
                      <w:spacing w:val="10"/>
                      <w:sz w:val="21"/>
                      <w:szCs w:val="21"/>
                    </w:rPr>
                    <w:t>1次/</w:t>
                  </w:r>
                  <w:r>
                    <w:rPr>
                      <w:rFonts w:hint="eastAsia"/>
                      <w:spacing w:val="10"/>
                      <w:sz w:val="21"/>
                      <w:szCs w:val="21"/>
                      <w:lang w:val="en-US" w:eastAsia="zh-CN"/>
                    </w:rPr>
                    <w:t>半</w:t>
                  </w:r>
                  <w:r>
                    <w:rPr>
                      <w:spacing w:val="10"/>
                      <w:sz w:val="21"/>
                      <w:szCs w:val="21"/>
                    </w:rPr>
                    <w:t>年</w:t>
                  </w:r>
                </w:p>
              </w:tc>
            </w:tr>
            <w:tr w14:paraId="1A49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4945B499">
                  <w:pPr>
                    <w:spacing w:line="240" w:lineRule="auto"/>
                    <w:ind w:firstLine="0" w:firstLineChars="0"/>
                    <w:jc w:val="center"/>
                    <w:rPr>
                      <w:spacing w:val="10"/>
                      <w:sz w:val="21"/>
                      <w:szCs w:val="21"/>
                    </w:rPr>
                  </w:pPr>
                  <w:r>
                    <w:rPr>
                      <w:spacing w:val="10"/>
                      <w:sz w:val="21"/>
                      <w:szCs w:val="21"/>
                    </w:rPr>
                    <w:t>有组织</w:t>
                  </w:r>
                </w:p>
              </w:tc>
              <w:tc>
                <w:tcPr>
                  <w:tcW w:w="1250" w:type="pct"/>
                  <w:vAlign w:val="center"/>
                </w:tcPr>
                <w:p w14:paraId="19F3D312">
                  <w:pPr>
                    <w:spacing w:line="240" w:lineRule="auto"/>
                    <w:ind w:firstLine="0" w:firstLineChars="0"/>
                    <w:jc w:val="center"/>
                    <w:rPr>
                      <w:rFonts w:hint="default" w:eastAsia="宋体"/>
                      <w:spacing w:val="10"/>
                      <w:sz w:val="21"/>
                      <w:szCs w:val="21"/>
                      <w:lang w:val="en-US" w:eastAsia="zh-CN"/>
                    </w:rPr>
                  </w:pPr>
                  <w:r>
                    <w:rPr>
                      <w:rFonts w:hint="eastAsia"/>
                      <w:spacing w:val="10"/>
                      <w:sz w:val="21"/>
                      <w:szCs w:val="21"/>
                      <w:lang w:val="en-US" w:eastAsia="zh-CN"/>
                    </w:rPr>
                    <w:t>DA002</w:t>
                  </w:r>
                </w:p>
              </w:tc>
              <w:tc>
                <w:tcPr>
                  <w:tcW w:w="1506" w:type="pct"/>
                  <w:vAlign w:val="center"/>
                </w:tcPr>
                <w:p w14:paraId="0AACEE16">
                  <w:pPr>
                    <w:spacing w:line="240" w:lineRule="auto"/>
                    <w:ind w:firstLine="0" w:firstLineChars="0"/>
                    <w:jc w:val="center"/>
                    <w:rPr>
                      <w:rFonts w:hint="eastAsia" w:eastAsia="宋体"/>
                      <w:spacing w:val="10"/>
                      <w:sz w:val="21"/>
                      <w:szCs w:val="21"/>
                      <w:lang w:eastAsia="zh-CN"/>
                    </w:rPr>
                  </w:pPr>
                  <w:r>
                    <w:rPr>
                      <w:rFonts w:hint="eastAsia"/>
                      <w:spacing w:val="10"/>
                      <w:sz w:val="21"/>
                      <w:szCs w:val="21"/>
                      <w:lang w:val="en-US" w:eastAsia="zh-CN"/>
                    </w:rPr>
                    <w:t>非甲烷总烃</w:t>
                  </w:r>
                </w:p>
              </w:tc>
              <w:tc>
                <w:tcPr>
                  <w:tcW w:w="993" w:type="pct"/>
                  <w:vAlign w:val="center"/>
                </w:tcPr>
                <w:p w14:paraId="548FCBD3">
                  <w:pPr>
                    <w:spacing w:line="240" w:lineRule="auto"/>
                    <w:ind w:firstLine="0" w:firstLineChars="0"/>
                    <w:jc w:val="center"/>
                    <w:rPr>
                      <w:rFonts w:hint="eastAsia"/>
                      <w:spacing w:val="10"/>
                      <w:sz w:val="21"/>
                      <w:szCs w:val="21"/>
                      <w:lang w:val="en-US" w:eastAsia="zh-CN"/>
                    </w:rPr>
                  </w:pPr>
                  <w:r>
                    <w:rPr>
                      <w:rFonts w:hint="eastAsia"/>
                      <w:spacing w:val="10"/>
                      <w:sz w:val="21"/>
                      <w:szCs w:val="21"/>
                      <w:lang w:val="en-US" w:eastAsia="zh-CN"/>
                    </w:rPr>
                    <w:t>1次/半年</w:t>
                  </w:r>
                </w:p>
              </w:tc>
            </w:tr>
            <w:tr w14:paraId="1CB5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51DAE250">
                  <w:pPr>
                    <w:spacing w:line="240" w:lineRule="auto"/>
                    <w:ind w:firstLine="0" w:firstLineChars="0"/>
                    <w:jc w:val="center"/>
                    <w:rPr>
                      <w:rFonts w:hint="default" w:eastAsia="宋体"/>
                      <w:spacing w:val="10"/>
                      <w:sz w:val="21"/>
                      <w:szCs w:val="21"/>
                      <w:lang w:val="en-US" w:eastAsia="zh-CN"/>
                    </w:rPr>
                  </w:pPr>
                  <w:r>
                    <w:rPr>
                      <w:rFonts w:hint="eastAsia"/>
                      <w:spacing w:val="10"/>
                      <w:sz w:val="21"/>
                      <w:szCs w:val="21"/>
                      <w:lang w:val="en-US" w:eastAsia="zh-CN"/>
                    </w:rPr>
                    <w:t>无组织</w:t>
                  </w:r>
                </w:p>
              </w:tc>
              <w:tc>
                <w:tcPr>
                  <w:tcW w:w="1250" w:type="pct"/>
                  <w:vAlign w:val="center"/>
                </w:tcPr>
                <w:p w14:paraId="1DAEEDDC">
                  <w:pPr>
                    <w:spacing w:line="240" w:lineRule="auto"/>
                    <w:ind w:firstLine="0" w:firstLineChars="0"/>
                    <w:jc w:val="center"/>
                    <w:rPr>
                      <w:rFonts w:hint="eastAsia" w:eastAsia="宋体"/>
                      <w:spacing w:val="10"/>
                      <w:sz w:val="21"/>
                      <w:szCs w:val="21"/>
                      <w:lang w:eastAsia="zh-CN"/>
                    </w:rPr>
                  </w:pPr>
                  <w:r>
                    <w:rPr>
                      <w:rFonts w:hint="eastAsia"/>
                      <w:spacing w:val="10"/>
                      <w:sz w:val="21"/>
                      <w:szCs w:val="21"/>
                      <w:lang w:val="en-US" w:eastAsia="zh-CN"/>
                    </w:rPr>
                    <w:t>厂界</w:t>
                  </w:r>
                </w:p>
              </w:tc>
              <w:tc>
                <w:tcPr>
                  <w:tcW w:w="1506" w:type="pct"/>
                  <w:vAlign w:val="center"/>
                </w:tcPr>
                <w:p w14:paraId="65A40AE5">
                  <w:pPr>
                    <w:spacing w:line="240" w:lineRule="auto"/>
                    <w:ind w:firstLine="0" w:firstLineChars="0"/>
                    <w:jc w:val="center"/>
                    <w:rPr>
                      <w:rFonts w:hint="default" w:eastAsia="宋体"/>
                      <w:spacing w:val="10"/>
                      <w:sz w:val="21"/>
                      <w:szCs w:val="21"/>
                      <w:lang w:val="en-US" w:eastAsia="zh-CN"/>
                    </w:rPr>
                  </w:pPr>
                  <w:r>
                    <w:rPr>
                      <w:rFonts w:hint="eastAsia"/>
                      <w:spacing w:val="10"/>
                      <w:sz w:val="21"/>
                      <w:szCs w:val="21"/>
                      <w:lang w:val="en-US" w:eastAsia="zh-CN"/>
                    </w:rPr>
                    <w:t>颗粒物、非甲烷总烃</w:t>
                  </w:r>
                </w:p>
              </w:tc>
              <w:tc>
                <w:tcPr>
                  <w:tcW w:w="993" w:type="pct"/>
                  <w:vAlign w:val="center"/>
                </w:tcPr>
                <w:p w14:paraId="25CE2AD5">
                  <w:pPr>
                    <w:spacing w:line="240" w:lineRule="auto"/>
                    <w:ind w:firstLine="0" w:firstLineChars="0"/>
                    <w:jc w:val="center"/>
                    <w:rPr>
                      <w:rFonts w:hint="eastAsia"/>
                      <w:spacing w:val="10"/>
                      <w:sz w:val="21"/>
                      <w:szCs w:val="21"/>
                      <w:lang w:val="en-US" w:eastAsia="zh-CN"/>
                    </w:rPr>
                  </w:pPr>
                  <w:r>
                    <w:rPr>
                      <w:rFonts w:hint="eastAsia"/>
                      <w:spacing w:val="10"/>
                      <w:sz w:val="21"/>
                      <w:szCs w:val="21"/>
                      <w:lang w:val="en-US" w:eastAsia="zh-CN"/>
                    </w:rPr>
                    <w:t>1次/半年</w:t>
                  </w:r>
                </w:p>
              </w:tc>
            </w:tr>
          </w:tbl>
          <w:p w14:paraId="21394D03">
            <w:pPr>
              <w:adjustRightInd w:val="0"/>
              <w:snapToGrid w:val="0"/>
              <w:spacing w:line="300" w:lineRule="auto"/>
              <w:ind w:firstLine="482"/>
              <w:rPr>
                <w:b/>
                <w:bCs/>
                <w:szCs w:val="32"/>
              </w:rPr>
            </w:pPr>
            <w:r>
              <w:rPr>
                <w:b/>
                <w:bCs/>
                <w:szCs w:val="32"/>
              </w:rPr>
              <w:t>4、大气环境影响结论</w:t>
            </w:r>
          </w:p>
          <w:p w14:paraId="7538D40C">
            <w:pPr>
              <w:adjustRightInd w:val="0"/>
              <w:snapToGrid w:val="0"/>
              <w:spacing w:line="300" w:lineRule="auto"/>
              <w:ind w:firstLine="520"/>
              <w:rPr>
                <w:spacing w:val="10"/>
              </w:rPr>
            </w:pPr>
            <w:r>
              <w:rPr>
                <w:spacing w:val="10"/>
              </w:rPr>
              <w:t>本项目所在区域为环境空气质量达标区，所在区域属于环境空气质量二类区，厂界外500米范围内存在的环境</w:t>
            </w:r>
            <w:r>
              <w:rPr>
                <w:spacing w:val="10"/>
                <w:highlight w:val="none"/>
              </w:rPr>
              <w:t>保护目标主要为居民区和学校，最近环境保护目标为项目西</w:t>
            </w:r>
            <w:r>
              <w:rPr>
                <w:rFonts w:hint="eastAsia"/>
                <w:spacing w:val="10"/>
                <w:highlight w:val="none"/>
                <w:lang w:val="en-US" w:eastAsia="zh-CN"/>
              </w:rPr>
              <w:t>北</w:t>
            </w:r>
            <w:r>
              <w:rPr>
                <w:spacing w:val="10"/>
                <w:highlight w:val="none"/>
              </w:rPr>
              <w:t>方向的</w:t>
            </w:r>
            <w:r>
              <w:rPr>
                <w:rFonts w:hint="eastAsia"/>
                <w:spacing w:val="10"/>
                <w:highlight w:val="none"/>
                <w:lang w:val="en-US" w:eastAsia="zh-CN"/>
              </w:rPr>
              <w:t>玉竹园</w:t>
            </w:r>
            <w:r>
              <w:rPr>
                <w:spacing w:val="10"/>
                <w:highlight w:val="none"/>
              </w:rPr>
              <w:t>，与项目厂界最近直线距离约</w:t>
            </w:r>
            <w:r>
              <w:rPr>
                <w:rFonts w:hint="eastAsia"/>
                <w:spacing w:val="10"/>
                <w:highlight w:val="none"/>
                <w:lang w:val="en-US" w:eastAsia="zh-CN"/>
              </w:rPr>
              <w:t>154</w:t>
            </w:r>
            <w:r>
              <w:rPr>
                <w:spacing w:val="10"/>
                <w:highlight w:val="none"/>
              </w:rPr>
              <w:t>m。本项目各产污环节均落实污染防治措施，</w:t>
            </w:r>
            <w:r>
              <w:rPr>
                <w:spacing w:val="10"/>
              </w:rPr>
              <w:t>本项目产生的废气主要为</w:t>
            </w:r>
            <w:r>
              <w:rPr>
                <w:rFonts w:hint="eastAsia"/>
                <w:spacing w:val="10"/>
                <w:lang w:val="en-US" w:eastAsia="zh-CN"/>
              </w:rPr>
              <w:t>颗粒物和非甲烷总烃</w:t>
            </w:r>
            <w:r>
              <w:rPr>
                <w:spacing w:val="10"/>
              </w:rPr>
              <w:t>。项目</w:t>
            </w:r>
            <w:r>
              <w:rPr>
                <w:rFonts w:hint="eastAsia"/>
                <w:spacing w:val="10"/>
                <w:lang w:val="en-US" w:eastAsia="zh-CN"/>
              </w:rPr>
              <w:t>精炼酶生产过程投料、混合、分装粉尘经半密闭型集气罩收集后，经布袋除尘器处理后引至1根15m高排气筒DA001达标排放；有机助剂生产过程搅拌、分装有机废气经设备直连、集气罩进一步收集后经“二级活性炭吸附装置”处理，引至1根15m高排气筒DA002达标排放</w:t>
            </w:r>
            <w:r>
              <w:rPr>
                <w:spacing w:val="10"/>
              </w:rPr>
              <w:t>。厂界无组织废气经采取有效治理措施后均可达标排放。</w:t>
            </w:r>
          </w:p>
          <w:p w14:paraId="643A724A">
            <w:pPr>
              <w:adjustRightInd w:val="0"/>
              <w:snapToGrid w:val="0"/>
              <w:spacing w:line="300" w:lineRule="auto"/>
              <w:ind w:firstLine="520"/>
              <w:rPr>
                <w:spacing w:val="10"/>
              </w:rPr>
            </w:pPr>
            <w:r>
              <w:rPr>
                <w:spacing w:val="10"/>
              </w:rPr>
              <w:t>本项目废气收集处理系统与生产工艺产污设备同步启停，提高收集处理效率，降低无组织排放。废气经采取有效治理措施后均可达标排放，本项目采取上述措施后，废气污染物均可达标排放，对项目周围大气环境影响较小。</w:t>
            </w:r>
          </w:p>
          <w:p w14:paraId="4C406B9A">
            <w:pPr>
              <w:adjustRightInd w:val="0"/>
              <w:snapToGrid w:val="0"/>
              <w:spacing w:line="300" w:lineRule="auto"/>
              <w:ind w:firstLine="482"/>
              <w:rPr>
                <w:b/>
                <w:bCs/>
                <w:szCs w:val="32"/>
              </w:rPr>
            </w:pPr>
            <w:r>
              <w:rPr>
                <w:b/>
                <w:bCs/>
                <w:szCs w:val="32"/>
              </w:rPr>
              <w:t>二、废水</w:t>
            </w:r>
          </w:p>
          <w:p w14:paraId="7803331B">
            <w:pPr>
              <w:adjustRightInd w:val="0"/>
              <w:snapToGrid w:val="0"/>
              <w:spacing w:line="300" w:lineRule="auto"/>
              <w:ind w:firstLine="482"/>
              <w:rPr>
                <w:b/>
                <w:bCs/>
                <w:szCs w:val="32"/>
              </w:rPr>
            </w:pPr>
            <w:r>
              <w:rPr>
                <w:b/>
                <w:bCs/>
                <w:szCs w:val="32"/>
              </w:rPr>
              <w:t>1、废水源强</w:t>
            </w:r>
          </w:p>
          <w:p w14:paraId="6D1ECFDB">
            <w:pPr>
              <w:adjustRightInd w:val="0"/>
              <w:snapToGrid w:val="0"/>
              <w:spacing w:line="300" w:lineRule="auto"/>
              <w:ind w:firstLine="482"/>
              <w:rPr>
                <w:rFonts w:hint="default" w:eastAsia="宋体"/>
                <w:spacing w:val="10"/>
                <w:lang w:val="en-US" w:eastAsia="zh-CN"/>
              </w:rPr>
            </w:pPr>
            <w:r>
              <w:rPr>
                <w:rFonts w:hint="eastAsia"/>
                <w:spacing w:val="10"/>
                <w:lang w:val="en-US" w:eastAsia="zh-CN"/>
              </w:rPr>
              <w:t>根据建设单位提供的资料，本项目设备采用专罐专用，不需要进行清洗。废水主要为纯水制备产生的浓水和生活污水。</w:t>
            </w:r>
          </w:p>
          <w:p w14:paraId="68C03791">
            <w:pPr>
              <w:adjustRightInd w:val="0"/>
              <w:snapToGrid w:val="0"/>
              <w:spacing w:line="300" w:lineRule="auto"/>
              <w:ind w:firstLine="482"/>
              <w:rPr>
                <w:rFonts w:hint="default"/>
                <w:spacing w:val="10"/>
                <w:lang w:val="en-US" w:eastAsia="zh-CN"/>
              </w:rPr>
            </w:pPr>
            <w:r>
              <w:rPr>
                <w:rFonts w:hint="eastAsia"/>
                <w:spacing w:val="10"/>
                <w:lang w:val="en-US" w:eastAsia="zh-CN"/>
              </w:rPr>
              <w:t>由上文分析可知，本项目浓水产生量为320t/a，浓水属于清净下水，污染较小，直接排入雨水管道。</w:t>
            </w:r>
          </w:p>
          <w:p w14:paraId="4428A95E">
            <w:pPr>
              <w:adjustRightInd w:val="0"/>
              <w:snapToGrid w:val="0"/>
              <w:spacing w:line="300" w:lineRule="auto"/>
              <w:ind w:firstLine="482"/>
              <w:rPr>
                <w:rFonts w:hint="eastAsia"/>
                <w:spacing w:val="10"/>
              </w:rPr>
            </w:pPr>
            <w:r>
              <w:rPr>
                <w:rFonts w:hint="eastAsia"/>
                <w:spacing w:val="10"/>
                <w:lang w:val="en-US" w:eastAsia="zh-CN"/>
              </w:rPr>
              <w:t>项目生活污水产生量为72t/a（0.288t/d）</w:t>
            </w:r>
            <w:r>
              <w:rPr>
                <w:rFonts w:hint="eastAsia"/>
                <w:spacing w:val="10"/>
              </w:rPr>
              <w:t>，</w:t>
            </w:r>
            <w:r>
              <w:rPr>
                <w:rFonts w:hint="eastAsia"/>
                <w:spacing w:val="10"/>
                <w:lang w:val="en-US" w:eastAsia="zh-CN"/>
              </w:rPr>
              <w:t>经</w:t>
            </w:r>
            <w:r>
              <w:rPr>
                <w:rFonts w:hint="eastAsia"/>
                <w:spacing w:val="10"/>
              </w:rPr>
              <w:t>化粪池预处理后经污水管网排入潮阳区污水处理厂。</w:t>
            </w:r>
          </w:p>
          <w:p w14:paraId="099FD8D5">
            <w:pPr>
              <w:adjustRightInd w:val="0"/>
              <w:snapToGrid w:val="0"/>
              <w:spacing w:line="300" w:lineRule="auto"/>
              <w:ind w:firstLine="480"/>
            </w:pPr>
            <w:r>
              <w:rPr>
                <w:rFonts w:hint="eastAsia"/>
              </w:rPr>
              <w:t>本项目产生的生活污水污染物浓度参照《给水排水设计手册》（第二版，第 5 期）第245 页表4-1 典型生活污水水质示例，结合汕头市生活污水水质情况，CODcr为 250mg/L，BOD</w:t>
            </w:r>
            <w:r>
              <w:rPr>
                <w:rFonts w:hint="eastAsia"/>
                <w:vertAlign w:val="subscript"/>
              </w:rPr>
              <w:t>5</w:t>
            </w:r>
            <w:r>
              <w:rPr>
                <w:rFonts w:hint="eastAsia"/>
              </w:rPr>
              <w:t xml:space="preserve"> 为 110mg/L，SS 为 100mg/L ，NH</w:t>
            </w:r>
            <w:r>
              <w:rPr>
                <w:rFonts w:hint="eastAsia"/>
                <w:vertAlign w:val="subscript"/>
              </w:rPr>
              <w:t>3</w:t>
            </w:r>
            <w:r>
              <w:rPr>
                <w:rFonts w:hint="eastAsia"/>
              </w:rPr>
              <w:t>-N 为 25mg/L</w:t>
            </w:r>
            <w:r>
              <w:t>，通过三级化粪池预处理后经自建污水处理站处理。</w:t>
            </w:r>
            <w:r>
              <w:rPr>
                <w:rFonts w:hint="eastAsia"/>
              </w:rPr>
              <w:t>参考《常用污水处理设备及去除率》，化粪池对污水的处理效率一般为CODcr 为 15%，BOD</w:t>
            </w:r>
            <w:r>
              <w:rPr>
                <w:rFonts w:hint="eastAsia"/>
                <w:vertAlign w:val="subscript"/>
              </w:rPr>
              <w:t>5</w:t>
            </w:r>
            <w:r>
              <w:rPr>
                <w:rFonts w:hint="eastAsia"/>
              </w:rPr>
              <w:t xml:space="preserve"> 为 9%，SS 为30%，NH</w:t>
            </w:r>
            <w:r>
              <w:rPr>
                <w:rFonts w:hint="eastAsia"/>
                <w:vertAlign w:val="subscript"/>
              </w:rPr>
              <w:t>3</w:t>
            </w:r>
            <w:r>
              <w:rPr>
                <w:rFonts w:hint="eastAsia"/>
              </w:rPr>
              <w:t>-N 为3%。</w:t>
            </w:r>
          </w:p>
          <w:p w14:paraId="21420C31">
            <w:pPr>
              <w:spacing w:line="240" w:lineRule="auto"/>
              <w:ind w:firstLine="0" w:firstLineChars="0"/>
              <w:jc w:val="center"/>
              <w:rPr>
                <w:b/>
                <w:bCs/>
                <w:szCs w:val="21"/>
              </w:rPr>
            </w:pPr>
            <w:r>
              <w:rPr>
                <w:b/>
                <w:bCs/>
                <w:szCs w:val="21"/>
              </w:rPr>
              <w:t>表4-</w:t>
            </w:r>
            <w:r>
              <w:rPr>
                <w:rFonts w:hint="eastAsia"/>
                <w:b/>
                <w:bCs/>
                <w:szCs w:val="21"/>
                <w:lang w:val="en-US" w:eastAsia="zh-CN"/>
              </w:rPr>
              <w:t>9</w:t>
            </w:r>
            <w:r>
              <w:rPr>
                <w:b/>
                <w:bCs/>
                <w:szCs w:val="21"/>
              </w:rPr>
              <w:t>员工生活污水产</w:t>
            </w:r>
            <w:r>
              <w:rPr>
                <w:rFonts w:hint="eastAsia"/>
                <w:b/>
                <w:bCs/>
                <w:szCs w:val="21"/>
                <w:lang w:val="en-US" w:eastAsia="zh-CN"/>
              </w:rPr>
              <w:t>排</w:t>
            </w:r>
            <w:r>
              <w:rPr>
                <w:b/>
                <w:bCs/>
                <w:szCs w:val="21"/>
              </w:rPr>
              <w:t>情况</w:t>
            </w:r>
          </w:p>
          <w:tbl>
            <w:tblPr>
              <w:tblStyle w:val="31"/>
              <w:tblW w:w="817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700"/>
              <w:gridCol w:w="816"/>
              <w:gridCol w:w="1936"/>
              <w:gridCol w:w="1062"/>
              <w:gridCol w:w="989"/>
              <w:gridCol w:w="940"/>
              <w:gridCol w:w="976"/>
            </w:tblGrid>
            <w:tr w14:paraId="7D6C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EAE6">
                  <w:pPr>
                    <w:spacing w:line="240" w:lineRule="auto"/>
                    <w:ind w:firstLine="0" w:firstLineChars="0"/>
                    <w:jc w:val="center"/>
                    <w:rPr>
                      <w:rFonts w:hint="eastAsia"/>
                      <w:b/>
                      <w:bCs/>
                      <w:spacing w:val="10"/>
                      <w:sz w:val="21"/>
                      <w:szCs w:val="21"/>
                      <w:lang w:val="en-US" w:eastAsia="zh-CN"/>
                    </w:rPr>
                  </w:pPr>
                  <w:r>
                    <w:rPr>
                      <w:rFonts w:hint="eastAsia"/>
                      <w:b/>
                      <w:bCs/>
                      <w:spacing w:val="10"/>
                      <w:sz w:val="21"/>
                      <w:szCs w:val="21"/>
                      <w:lang w:val="en-US" w:eastAsia="zh-CN"/>
                    </w:rPr>
                    <w:t>废水</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D185">
                  <w:pPr>
                    <w:spacing w:line="240" w:lineRule="auto"/>
                    <w:ind w:firstLine="0" w:firstLineChars="0"/>
                    <w:jc w:val="center"/>
                    <w:rPr>
                      <w:rFonts w:hint="eastAsia"/>
                      <w:b/>
                      <w:bCs/>
                      <w:spacing w:val="10"/>
                      <w:sz w:val="21"/>
                      <w:szCs w:val="21"/>
                      <w:lang w:val="en-US" w:eastAsia="zh-CN"/>
                    </w:rPr>
                  </w:pPr>
                  <w:r>
                    <w:rPr>
                      <w:rFonts w:hint="eastAsia"/>
                      <w:b/>
                      <w:bCs/>
                      <w:spacing w:val="10"/>
                      <w:sz w:val="21"/>
                      <w:szCs w:val="21"/>
                      <w:lang w:val="en-US" w:eastAsia="zh-CN"/>
                    </w:rPr>
                    <w:t>水量m</w:t>
                  </w:r>
                  <w:r>
                    <w:rPr>
                      <w:rFonts w:hint="eastAsia"/>
                      <w:b/>
                      <w:bCs/>
                      <w:spacing w:val="10"/>
                      <w:sz w:val="21"/>
                      <w:szCs w:val="21"/>
                      <w:vertAlign w:val="superscript"/>
                      <w:lang w:val="en-US" w:eastAsia="zh-CN"/>
                    </w:rPr>
                    <w:t>3</w:t>
                  </w:r>
                  <w:r>
                    <w:rPr>
                      <w:rFonts w:hint="eastAsia"/>
                      <w:b/>
                      <w:bCs/>
                      <w:spacing w:val="10"/>
                      <w:sz w:val="21"/>
                      <w:szCs w:val="21"/>
                      <w:lang w:val="en-US" w:eastAsia="zh-CN"/>
                    </w:rPr>
                    <w:t>/a</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DC7C">
                  <w:pPr>
                    <w:spacing w:line="240" w:lineRule="auto"/>
                    <w:ind w:firstLine="0" w:firstLineChars="0"/>
                    <w:jc w:val="center"/>
                    <w:rPr>
                      <w:rFonts w:hint="eastAsia"/>
                      <w:b/>
                      <w:bCs/>
                      <w:spacing w:val="10"/>
                      <w:sz w:val="21"/>
                      <w:szCs w:val="21"/>
                      <w:lang w:val="en-US" w:eastAsia="zh-CN"/>
                    </w:rPr>
                  </w:pPr>
                  <w:r>
                    <w:rPr>
                      <w:rFonts w:hint="eastAsia"/>
                      <w:b/>
                      <w:bCs/>
                      <w:spacing w:val="10"/>
                      <w:sz w:val="21"/>
                      <w:szCs w:val="21"/>
                      <w:lang w:val="en-US" w:eastAsia="zh-CN"/>
                    </w:rPr>
                    <w:t>处理设施</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31A0">
                  <w:pPr>
                    <w:spacing w:line="240" w:lineRule="auto"/>
                    <w:ind w:firstLine="0" w:firstLineChars="0"/>
                    <w:jc w:val="center"/>
                    <w:rPr>
                      <w:rFonts w:hint="eastAsia"/>
                      <w:b/>
                      <w:bCs/>
                      <w:spacing w:val="10"/>
                      <w:sz w:val="21"/>
                      <w:szCs w:val="21"/>
                      <w:lang w:val="en-US" w:eastAsia="zh-CN"/>
                    </w:rPr>
                  </w:pPr>
                  <w:r>
                    <w:rPr>
                      <w:rFonts w:hint="eastAsia"/>
                      <w:b/>
                      <w:bCs/>
                      <w:spacing w:val="10"/>
                      <w:sz w:val="21"/>
                      <w:szCs w:val="21"/>
                      <w:lang w:val="en-US" w:eastAsia="zh-CN"/>
                    </w:rPr>
                    <w:t>产排情况</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4DB1">
                  <w:pPr>
                    <w:spacing w:line="240" w:lineRule="auto"/>
                    <w:ind w:firstLine="0" w:firstLineChars="0"/>
                    <w:jc w:val="center"/>
                    <w:rPr>
                      <w:rFonts w:hint="default"/>
                      <w:b/>
                      <w:bCs/>
                      <w:spacing w:val="10"/>
                      <w:sz w:val="21"/>
                      <w:szCs w:val="21"/>
                      <w:lang w:val="en-US" w:eastAsia="zh-CN"/>
                    </w:rPr>
                  </w:pPr>
                  <w:r>
                    <w:rPr>
                      <w:rFonts w:hint="default"/>
                      <w:b/>
                      <w:bCs/>
                      <w:spacing w:val="10"/>
                      <w:sz w:val="21"/>
                      <w:szCs w:val="21"/>
                      <w:lang w:val="en-US" w:eastAsia="zh-CN"/>
                    </w:rPr>
                    <w:t>CODCr</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CCAC">
                  <w:pPr>
                    <w:spacing w:line="240" w:lineRule="auto"/>
                    <w:ind w:firstLine="0" w:firstLineChars="0"/>
                    <w:jc w:val="center"/>
                    <w:rPr>
                      <w:rFonts w:hint="default"/>
                      <w:b/>
                      <w:bCs/>
                      <w:spacing w:val="10"/>
                      <w:sz w:val="21"/>
                      <w:szCs w:val="21"/>
                      <w:lang w:val="en-US" w:eastAsia="zh-CN"/>
                    </w:rPr>
                  </w:pPr>
                  <w:r>
                    <w:rPr>
                      <w:rFonts w:hint="default"/>
                      <w:b/>
                      <w:bCs/>
                      <w:spacing w:val="10"/>
                      <w:sz w:val="21"/>
                      <w:szCs w:val="21"/>
                      <w:lang w:val="en-US" w:eastAsia="zh-CN"/>
                    </w:rPr>
                    <w:t>BOD</w:t>
                  </w:r>
                  <w:r>
                    <w:rPr>
                      <w:rFonts w:hint="default"/>
                      <w:b/>
                      <w:bCs/>
                      <w:spacing w:val="10"/>
                      <w:sz w:val="21"/>
                      <w:szCs w:val="21"/>
                      <w:vertAlign w:val="subscript"/>
                      <w:lang w:val="en-US" w:eastAsia="zh-CN"/>
                    </w:rPr>
                    <w:t>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0C08">
                  <w:pPr>
                    <w:spacing w:line="240" w:lineRule="auto"/>
                    <w:ind w:firstLine="0" w:firstLineChars="0"/>
                    <w:jc w:val="center"/>
                    <w:rPr>
                      <w:rFonts w:hint="default"/>
                      <w:b/>
                      <w:bCs/>
                      <w:spacing w:val="10"/>
                      <w:sz w:val="21"/>
                      <w:szCs w:val="21"/>
                      <w:lang w:val="en-US" w:eastAsia="zh-CN"/>
                    </w:rPr>
                  </w:pPr>
                  <w:r>
                    <w:rPr>
                      <w:rFonts w:hint="default"/>
                      <w:b/>
                      <w:bCs/>
                      <w:spacing w:val="10"/>
                      <w:sz w:val="21"/>
                      <w:szCs w:val="21"/>
                      <w:lang w:val="en-US" w:eastAsia="zh-CN"/>
                    </w:rPr>
                    <w:t>SS</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549F">
                  <w:pPr>
                    <w:spacing w:line="240" w:lineRule="auto"/>
                    <w:ind w:firstLine="0" w:firstLineChars="0"/>
                    <w:jc w:val="center"/>
                    <w:rPr>
                      <w:rFonts w:hint="eastAsia"/>
                      <w:b/>
                      <w:bCs/>
                      <w:spacing w:val="10"/>
                      <w:sz w:val="21"/>
                      <w:szCs w:val="21"/>
                      <w:lang w:val="en-US" w:eastAsia="zh-CN"/>
                    </w:rPr>
                  </w:pPr>
                  <w:r>
                    <w:rPr>
                      <w:rFonts w:hint="eastAsia"/>
                      <w:b/>
                      <w:bCs/>
                      <w:spacing w:val="10"/>
                      <w:sz w:val="21"/>
                      <w:szCs w:val="21"/>
                      <w:lang w:val="en-US" w:eastAsia="zh-CN"/>
                    </w:rPr>
                    <w:t>氨氮</w:t>
                  </w:r>
                </w:p>
              </w:tc>
            </w:tr>
            <w:tr w14:paraId="4607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21AC0">
                  <w:pPr>
                    <w:spacing w:line="240" w:lineRule="auto"/>
                    <w:ind w:firstLine="0" w:firstLineChars="0"/>
                    <w:jc w:val="center"/>
                    <w:rPr>
                      <w:rFonts w:hint="eastAsia"/>
                      <w:spacing w:val="10"/>
                      <w:sz w:val="21"/>
                      <w:szCs w:val="21"/>
                      <w:lang w:val="en-US" w:eastAsia="zh-CN"/>
                    </w:rPr>
                  </w:pPr>
                  <w:r>
                    <w:rPr>
                      <w:rFonts w:hint="eastAsia"/>
                      <w:spacing w:val="10"/>
                      <w:sz w:val="21"/>
                      <w:szCs w:val="21"/>
                      <w:lang w:val="en-US" w:eastAsia="zh-CN"/>
                    </w:rPr>
                    <w:t>员工生活污水</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41A35">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72</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6FA8">
                  <w:pPr>
                    <w:spacing w:line="240" w:lineRule="auto"/>
                    <w:ind w:firstLine="0" w:firstLineChars="0"/>
                    <w:jc w:val="center"/>
                    <w:rPr>
                      <w:rFonts w:hint="eastAsia"/>
                      <w:spacing w:val="10"/>
                      <w:sz w:val="21"/>
                      <w:szCs w:val="21"/>
                      <w:lang w:val="en-US" w:eastAsia="zh-CN"/>
                    </w:rPr>
                  </w:pPr>
                  <w:r>
                    <w:rPr>
                      <w:rFonts w:hint="eastAsia"/>
                      <w:spacing w:val="10"/>
                      <w:sz w:val="21"/>
                      <w:szCs w:val="21"/>
                      <w:lang w:val="en-US" w:eastAsia="zh-CN"/>
                    </w:rPr>
                    <w:t>三级化粪池</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1145">
                  <w:pPr>
                    <w:spacing w:line="240" w:lineRule="auto"/>
                    <w:ind w:firstLine="0" w:firstLineChars="0"/>
                    <w:jc w:val="center"/>
                    <w:rPr>
                      <w:rFonts w:hint="eastAsia"/>
                      <w:spacing w:val="10"/>
                      <w:sz w:val="21"/>
                      <w:szCs w:val="21"/>
                      <w:lang w:val="en-US" w:eastAsia="zh-CN"/>
                    </w:rPr>
                  </w:pPr>
                  <w:r>
                    <w:rPr>
                      <w:rFonts w:hint="eastAsia"/>
                      <w:spacing w:val="10"/>
                      <w:sz w:val="21"/>
                      <w:szCs w:val="21"/>
                      <w:lang w:val="en-US" w:eastAsia="zh-CN"/>
                    </w:rPr>
                    <w:t>产生浓度</w:t>
                  </w:r>
                  <w:r>
                    <w:rPr>
                      <w:rFonts w:hint="default"/>
                      <w:spacing w:val="10"/>
                      <w:sz w:val="21"/>
                      <w:szCs w:val="21"/>
                      <w:lang w:val="en-US" w:eastAsia="zh-CN"/>
                    </w:rPr>
                    <w:t>mg/L</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D23B">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250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9793">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110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1FFA">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E76D">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25</w:t>
                  </w:r>
                </w:p>
              </w:tc>
            </w:tr>
            <w:tr w14:paraId="62DE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5F8F">
                  <w:pPr>
                    <w:spacing w:line="240" w:lineRule="auto"/>
                    <w:ind w:firstLine="0" w:firstLineChars="0"/>
                    <w:jc w:val="center"/>
                    <w:rPr>
                      <w:rFonts w:hint="eastAsia"/>
                      <w:spacing w:val="1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38610">
                  <w:pPr>
                    <w:spacing w:line="240" w:lineRule="auto"/>
                    <w:ind w:firstLine="0" w:firstLineChars="0"/>
                    <w:jc w:val="center"/>
                    <w:rPr>
                      <w:rFonts w:hint="default"/>
                      <w:spacing w:val="10"/>
                      <w:sz w:val="21"/>
                      <w:szCs w:val="21"/>
                      <w:lang w:val="en-US"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2E9C">
                  <w:pPr>
                    <w:spacing w:line="240" w:lineRule="auto"/>
                    <w:ind w:firstLine="0" w:firstLineChars="0"/>
                    <w:jc w:val="center"/>
                    <w:rPr>
                      <w:rFonts w:hint="eastAsia"/>
                      <w:spacing w:val="10"/>
                      <w:sz w:val="21"/>
                      <w:szCs w:val="21"/>
                      <w:lang w:val="en-US"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BD70">
                  <w:pPr>
                    <w:spacing w:line="240" w:lineRule="auto"/>
                    <w:ind w:firstLine="0" w:firstLineChars="0"/>
                    <w:jc w:val="center"/>
                    <w:rPr>
                      <w:rFonts w:hint="eastAsia"/>
                      <w:spacing w:val="10"/>
                      <w:sz w:val="21"/>
                      <w:szCs w:val="21"/>
                      <w:lang w:val="en-US" w:eastAsia="zh-CN"/>
                    </w:rPr>
                  </w:pPr>
                  <w:r>
                    <w:rPr>
                      <w:rFonts w:hint="eastAsia"/>
                      <w:spacing w:val="10"/>
                      <w:sz w:val="21"/>
                      <w:szCs w:val="21"/>
                      <w:lang w:val="en-US" w:eastAsia="zh-CN"/>
                    </w:rPr>
                    <w:t>产生量</w:t>
                  </w:r>
                  <w:r>
                    <w:rPr>
                      <w:rFonts w:hint="default"/>
                      <w:spacing w:val="10"/>
                      <w:sz w:val="21"/>
                      <w:szCs w:val="21"/>
                      <w:lang w:val="en-US" w:eastAsia="zh-CN"/>
                    </w:rPr>
                    <w:t>t/a</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C900">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 xml:space="preserve">0.018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0809">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 xml:space="preserve">0.008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572E">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 xml:space="preserve">0.007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6244">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 xml:space="preserve">0.002 </w:t>
                  </w:r>
                </w:p>
              </w:tc>
            </w:tr>
            <w:tr w14:paraId="0503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38704">
                  <w:pPr>
                    <w:spacing w:line="240" w:lineRule="auto"/>
                    <w:ind w:firstLine="0" w:firstLineChars="0"/>
                    <w:jc w:val="center"/>
                    <w:rPr>
                      <w:rFonts w:hint="eastAsia"/>
                      <w:spacing w:val="1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202E3">
                  <w:pPr>
                    <w:spacing w:line="240" w:lineRule="auto"/>
                    <w:ind w:firstLine="0" w:firstLineChars="0"/>
                    <w:jc w:val="center"/>
                    <w:rPr>
                      <w:rFonts w:hint="default"/>
                      <w:spacing w:val="10"/>
                      <w:sz w:val="21"/>
                      <w:szCs w:val="21"/>
                      <w:lang w:val="en-US"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92DA">
                  <w:pPr>
                    <w:spacing w:line="240" w:lineRule="auto"/>
                    <w:ind w:firstLine="0" w:firstLineChars="0"/>
                    <w:jc w:val="center"/>
                    <w:rPr>
                      <w:rFonts w:hint="eastAsia"/>
                      <w:spacing w:val="10"/>
                      <w:sz w:val="21"/>
                      <w:szCs w:val="21"/>
                      <w:lang w:val="en-US"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0DB9">
                  <w:pPr>
                    <w:spacing w:line="240" w:lineRule="auto"/>
                    <w:ind w:firstLine="0" w:firstLineChars="0"/>
                    <w:jc w:val="center"/>
                    <w:rPr>
                      <w:rFonts w:hint="eastAsia"/>
                      <w:spacing w:val="10"/>
                      <w:sz w:val="21"/>
                      <w:szCs w:val="21"/>
                      <w:lang w:val="en-US" w:eastAsia="zh-CN"/>
                    </w:rPr>
                  </w:pPr>
                  <w:r>
                    <w:rPr>
                      <w:rFonts w:hint="eastAsia"/>
                      <w:spacing w:val="10"/>
                      <w:sz w:val="21"/>
                      <w:szCs w:val="21"/>
                      <w:lang w:val="en-US" w:eastAsia="zh-CN"/>
                    </w:rPr>
                    <w:t>排放浓度</w:t>
                  </w:r>
                  <w:r>
                    <w:rPr>
                      <w:rFonts w:hint="default"/>
                      <w:spacing w:val="10"/>
                      <w:sz w:val="21"/>
                      <w:szCs w:val="21"/>
                      <w:lang w:val="en-US" w:eastAsia="zh-CN"/>
                    </w:rPr>
                    <w:t>mg/L</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9063">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212.5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7681">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1</w:t>
                  </w:r>
                  <w:r>
                    <w:rPr>
                      <w:rFonts w:hint="eastAsia"/>
                      <w:spacing w:val="10"/>
                      <w:sz w:val="21"/>
                      <w:szCs w:val="21"/>
                      <w:lang w:val="en-US" w:eastAsia="zh-CN"/>
                    </w:rPr>
                    <w:t>00</w:t>
                  </w:r>
                  <w:r>
                    <w:rPr>
                      <w:rFonts w:hint="default"/>
                      <w:spacing w:val="10"/>
                      <w:sz w:val="21"/>
                      <w:szCs w:val="21"/>
                      <w:lang w:val="en-US" w:eastAsia="zh-CN"/>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FEB8">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70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C716">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24.25</w:t>
                  </w:r>
                </w:p>
              </w:tc>
            </w:tr>
            <w:tr w14:paraId="2821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122EB">
                  <w:pPr>
                    <w:spacing w:line="240" w:lineRule="auto"/>
                    <w:ind w:firstLine="0" w:firstLineChars="0"/>
                    <w:jc w:val="center"/>
                    <w:rPr>
                      <w:rFonts w:hint="eastAsia"/>
                      <w:spacing w:val="1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9FD3">
                  <w:pPr>
                    <w:spacing w:line="240" w:lineRule="auto"/>
                    <w:ind w:firstLine="0" w:firstLineChars="0"/>
                    <w:jc w:val="center"/>
                    <w:rPr>
                      <w:rFonts w:hint="default"/>
                      <w:spacing w:val="10"/>
                      <w:sz w:val="21"/>
                      <w:szCs w:val="21"/>
                      <w:lang w:val="en-US"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9EDA">
                  <w:pPr>
                    <w:spacing w:line="240" w:lineRule="auto"/>
                    <w:ind w:firstLine="0" w:firstLineChars="0"/>
                    <w:jc w:val="center"/>
                    <w:rPr>
                      <w:rFonts w:hint="eastAsia"/>
                      <w:spacing w:val="10"/>
                      <w:sz w:val="21"/>
                      <w:szCs w:val="21"/>
                      <w:lang w:val="en-US"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CD11">
                  <w:pPr>
                    <w:spacing w:line="240" w:lineRule="auto"/>
                    <w:ind w:firstLine="0" w:firstLineChars="0"/>
                    <w:jc w:val="center"/>
                    <w:rPr>
                      <w:rFonts w:hint="eastAsia"/>
                      <w:spacing w:val="10"/>
                      <w:sz w:val="21"/>
                      <w:szCs w:val="21"/>
                      <w:lang w:val="en-US" w:eastAsia="zh-CN"/>
                    </w:rPr>
                  </w:pPr>
                  <w:r>
                    <w:rPr>
                      <w:rFonts w:hint="eastAsia"/>
                      <w:spacing w:val="10"/>
                      <w:sz w:val="21"/>
                      <w:szCs w:val="21"/>
                      <w:lang w:val="en-US" w:eastAsia="zh-CN"/>
                    </w:rPr>
                    <w:t>排放量</w:t>
                  </w:r>
                  <w:r>
                    <w:rPr>
                      <w:rFonts w:hint="default"/>
                      <w:spacing w:val="10"/>
                      <w:sz w:val="21"/>
                      <w:szCs w:val="21"/>
                      <w:lang w:val="en-US" w:eastAsia="zh-CN"/>
                    </w:rPr>
                    <w:t>t/a</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684E">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 xml:space="preserve">0.015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6AD0">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0.00</w:t>
                  </w:r>
                  <w:r>
                    <w:rPr>
                      <w:rFonts w:hint="eastAsia"/>
                      <w:spacing w:val="10"/>
                      <w:sz w:val="21"/>
                      <w:szCs w:val="21"/>
                      <w:lang w:val="en-US" w:eastAsia="zh-CN"/>
                    </w:rPr>
                    <w:t>7</w:t>
                  </w:r>
                  <w:r>
                    <w:rPr>
                      <w:rFonts w:hint="default"/>
                      <w:spacing w:val="10"/>
                      <w:sz w:val="21"/>
                      <w:szCs w:val="21"/>
                      <w:lang w:val="en-US" w:eastAsia="zh-CN"/>
                    </w:rPr>
                    <w:t xml:space="preserve">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1D26">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 xml:space="preserve">0.005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AC12">
                  <w:pPr>
                    <w:spacing w:line="240" w:lineRule="auto"/>
                    <w:ind w:firstLine="0" w:firstLineChars="0"/>
                    <w:jc w:val="center"/>
                    <w:rPr>
                      <w:rFonts w:hint="default"/>
                      <w:spacing w:val="10"/>
                      <w:sz w:val="21"/>
                      <w:szCs w:val="21"/>
                      <w:lang w:val="en-US" w:eastAsia="zh-CN"/>
                    </w:rPr>
                  </w:pPr>
                  <w:r>
                    <w:rPr>
                      <w:rFonts w:hint="default"/>
                      <w:spacing w:val="10"/>
                      <w:sz w:val="21"/>
                      <w:szCs w:val="21"/>
                      <w:lang w:val="en-US" w:eastAsia="zh-CN"/>
                    </w:rPr>
                    <w:t xml:space="preserve">0.002 </w:t>
                  </w:r>
                </w:p>
              </w:tc>
            </w:tr>
          </w:tbl>
          <w:p w14:paraId="6D5AFA96">
            <w:pPr>
              <w:spacing w:line="240" w:lineRule="auto"/>
              <w:ind w:firstLine="0" w:firstLineChars="0"/>
              <w:rPr>
                <w:b/>
                <w:bCs/>
                <w:szCs w:val="21"/>
              </w:rPr>
            </w:pPr>
          </w:p>
          <w:p w14:paraId="7B7C20FC">
            <w:pPr>
              <w:spacing w:line="240" w:lineRule="auto"/>
              <w:ind w:firstLine="0" w:firstLineChars="0"/>
              <w:jc w:val="center"/>
              <w:rPr>
                <w:b/>
                <w:bCs/>
                <w:szCs w:val="21"/>
              </w:rPr>
            </w:pPr>
            <w:r>
              <w:rPr>
                <w:b/>
                <w:bCs/>
                <w:szCs w:val="21"/>
              </w:rPr>
              <w:t>表4-</w:t>
            </w:r>
            <w:r>
              <w:rPr>
                <w:rFonts w:hint="eastAsia"/>
                <w:b/>
                <w:bCs/>
                <w:szCs w:val="21"/>
                <w:lang w:val="en-US" w:eastAsia="zh-CN"/>
              </w:rPr>
              <w:t>10</w:t>
            </w:r>
            <w:r>
              <w:rPr>
                <w:b/>
                <w:bCs/>
                <w:szCs w:val="21"/>
              </w:rPr>
              <w:t>废水间接排放口基本情况表</w:t>
            </w:r>
          </w:p>
          <w:tbl>
            <w:tblPr>
              <w:tblStyle w:val="3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
              <w:gridCol w:w="737"/>
              <w:gridCol w:w="1030"/>
              <w:gridCol w:w="917"/>
              <w:gridCol w:w="779"/>
              <w:gridCol w:w="544"/>
              <w:gridCol w:w="1364"/>
              <w:gridCol w:w="391"/>
              <w:gridCol w:w="539"/>
              <w:gridCol w:w="640"/>
              <w:gridCol w:w="1231"/>
            </w:tblGrid>
            <w:tr w14:paraId="43E91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52" w:type="dxa"/>
                  <w:vMerge w:val="restart"/>
                  <w:vAlign w:val="center"/>
                </w:tcPr>
                <w:p w14:paraId="3C7D119C">
                  <w:pPr>
                    <w:pStyle w:val="76"/>
                    <w:adjustRightInd w:val="0"/>
                    <w:snapToGrid w:val="0"/>
                    <w:rPr>
                      <w:rFonts w:ascii="Times New Roman" w:hAnsi="Times New Roman" w:cs="Times New Roman"/>
                      <w:sz w:val="21"/>
                      <w:szCs w:val="21"/>
                      <w:lang w:eastAsia="en-US"/>
                    </w:rPr>
                  </w:pPr>
                  <w:r>
                    <w:rPr>
                      <w:rFonts w:ascii="Times New Roman" w:hAnsi="Times New Roman" w:cs="Times New Roman"/>
                      <w:sz w:val="21"/>
                      <w:szCs w:val="21"/>
                      <w:lang w:eastAsia="en-US"/>
                    </w:rPr>
                    <w:t>序号</w:t>
                  </w:r>
                </w:p>
              </w:tc>
              <w:tc>
                <w:tcPr>
                  <w:tcW w:w="737" w:type="dxa"/>
                  <w:vMerge w:val="restart"/>
                  <w:vAlign w:val="center"/>
                </w:tcPr>
                <w:p w14:paraId="4DFF973D">
                  <w:pPr>
                    <w:pStyle w:val="76"/>
                    <w:adjustRightInd w:val="0"/>
                    <w:snapToGrid w:val="0"/>
                    <w:rPr>
                      <w:rFonts w:ascii="Times New Roman" w:hAnsi="Times New Roman" w:cs="Times New Roman"/>
                      <w:spacing w:val="-2"/>
                      <w:sz w:val="21"/>
                      <w:szCs w:val="21"/>
                      <w:lang w:eastAsia="en-US"/>
                    </w:rPr>
                  </w:pPr>
                  <w:r>
                    <w:rPr>
                      <w:rFonts w:ascii="Times New Roman" w:hAnsi="Times New Roman" w:cs="Times New Roman"/>
                      <w:spacing w:val="-2"/>
                      <w:sz w:val="21"/>
                      <w:szCs w:val="21"/>
                      <w:lang w:eastAsia="en-US"/>
                    </w:rPr>
                    <w:t>排放口编号</w:t>
                  </w:r>
                </w:p>
              </w:tc>
              <w:tc>
                <w:tcPr>
                  <w:tcW w:w="1947" w:type="dxa"/>
                  <w:gridSpan w:val="2"/>
                  <w:vAlign w:val="center"/>
                </w:tcPr>
                <w:p w14:paraId="2F41AE75">
                  <w:pPr>
                    <w:pStyle w:val="76"/>
                    <w:adjustRightInd w:val="0"/>
                    <w:snapToGrid w:val="0"/>
                    <w:rPr>
                      <w:rFonts w:ascii="Times New Roman" w:hAnsi="Times New Roman" w:cs="Times New Roman"/>
                      <w:spacing w:val="-2"/>
                      <w:sz w:val="21"/>
                      <w:szCs w:val="21"/>
                      <w:lang w:eastAsia="en-US"/>
                    </w:rPr>
                  </w:pPr>
                  <w:r>
                    <w:rPr>
                      <w:rFonts w:ascii="Times New Roman" w:hAnsi="Times New Roman" w:cs="Times New Roman"/>
                      <w:spacing w:val="-2"/>
                      <w:sz w:val="21"/>
                      <w:szCs w:val="21"/>
                      <w:lang w:eastAsia="en-US"/>
                    </w:rPr>
                    <w:t>排放口地理坐标</w:t>
                  </w:r>
                </w:p>
              </w:tc>
              <w:tc>
                <w:tcPr>
                  <w:tcW w:w="779" w:type="dxa"/>
                  <w:vMerge w:val="restart"/>
                  <w:vAlign w:val="center"/>
                </w:tcPr>
                <w:p w14:paraId="5557A042">
                  <w:pPr>
                    <w:pStyle w:val="76"/>
                    <w:adjustRightInd w:val="0"/>
                    <w:snapToGrid w:val="0"/>
                    <w:rPr>
                      <w:rFonts w:ascii="Times New Roman" w:hAnsi="Times New Roman" w:cs="Times New Roman"/>
                      <w:sz w:val="21"/>
                      <w:szCs w:val="21"/>
                      <w:lang w:eastAsia="en-US"/>
                    </w:rPr>
                  </w:pPr>
                  <w:r>
                    <w:rPr>
                      <w:rFonts w:ascii="Times New Roman" w:hAnsi="Times New Roman" w:cs="Times New Roman"/>
                      <w:sz w:val="21"/>
                      <w:szCs w:val="21"/>
                      <w:lang w:eastAsia="en-US"/>
                    </w:rPr>
                    <w:t>废水排</w:t>
                  </w:r>
                  <w:r>
                    <w:rPr>
                      <w:rFonts w:ascii="Times New Roman" w:hAnsi="Times New Roman" w:cs="Times New Roman"/>
                      <w:spacing w:val="-29"/>
                      <w:sz w:val="21"/>
                      <w:szCs w:val="21"/>
                      <w:lang w:eastAsia="en-US"/>
                    </w:rPr>
                    <w:t>放量</w:t>
                  </w:r>
                  <w:r>
                    <w:rPr>
                      <w:rFonts w:ascii="Times New Roman" w:hAnsi="Times New Roman" w:cs="Times New Roman"/>
                      <w:spacing w:val="-1"/>
                      <w:sz w:val="21"/>
                      <w:szCs w:val="21"/>
                      <w:lang w:eastAsia="en-US"/>
                    </w:rPr>
                    <w:t>（</w:t>
                  </w:r>
                  <w:r>
                    <w:rPr>
                      <w:rFonts w:ascii="Times New Roman" w:hAnsi="Times New Roman" w:cs="Times New Roman"/>
                      <w:sz w:val="21"/>
                      <w:szCs w:val="21"/>
                      <w:lang w:eastAsia="en-US"/>
                    </w:rPr>
                    <w:t>t/a）</w:t>
                  </w:r>
                </w:p>
              </w:tc>
              <w:tc>
                <w:tcPr>
                  <w:tcW w:w="544" w:type="dxa"/>
                  <w:vMerge w:val="restart"/>
                  <w:vAlign w:val="center"/>
                </w:tcPr>
                <w:p w14:paraId="61270FE2">
                  <w:pPr>
                    <w:pStyle w:val="76"/>
                    <w:adjustRightInd w:val="0"/>
                    <w:snapToGrid w:val="0"/>
                    <w:rPr>
                      <w:rFonts w:ascii="Times New Roman" w:hAnsi="Times New Roman" w:cs="Times New Roman"/>
                      <w:sz w:val="21"/>
                      <w:szCs w:val="21"/>
                      <w:lang w:eastAsia="en-US"/>
                    </w:rPr>
                  </w:pPr>
                  <w:r>
                    <w:rPr>
                      <w:rFonts w:ascii="Times New Roman" w:hAnsi="Times New Roman" w:cs="Times New Roman"/>
                      <w:sz w:val="21"/>
                      <w:szCs w:val="21"/>
                      <w:lang w:eastAsia="en-US"/>
                    </w:rPr>
                    <w:t>排放去向</w:t>
                  </w:r>
                </w:p>
              </w:tc>
              <w:tc>
                <w:tcPr>
                  <w:tcW w:w="1364" w:type="dxa"/>
                  <w:vMerge w:val="restart"/>
                  <w:vAlign w:val="center"/>
                </w:tcPr>
                <w:p w14:paraId="54A221EC">
                  <w:pPr>
                    <w:pStyle w:val="76"/>
                    <w:adjustRightInd w:val="0"/>
                    <w:snapToGrid w:val="0"/>
                    <w:rPr>
                      <w:rFonts w:ascii="Times New Roman" w:hAnsi="Times New Roman" w:cs="Times New Roman"/>
                      <w:sz w:val="21"/>
                      <w:szCs w:val="21"/>
                      <w:lang w:eastAsia="en-US"/>
                    </w:rPr>
                  </w:pPr>
                  <w:r>
                    <w:rPr>
                      <w:rFonts w:ascii="Times New Roman" w:hAnsi="Times New Roman" w:cs="Times New Roman"/>
                      <w:spacing w:val="-2"/>
                      <w:sz w:val="21"/>
                      <w:szCs w:val="21"/>
                      <w:lang w:eastAsia="en-US"/>
                    </w:rPr>
                    <w:t>排放规律</w:t>
                  </w:r>
                </w:p>
              </w:tc>
              <w:tc>
                <w:tcPr>
                  <w:tcW w:w="391" w:type="dxa"/>
                  <w:vMerge w:val="restart"/>
                  <w:vAlign w:val="center"/>
                </w:tcPr>
                <w:p w14:paraId="56B26B4C">
                  <w:pPr>
                    <w:pStyle w:val="76"/>
                    <w:adjustRightInd w:val="0"/>
                    <w:snapToGrid w:val="0"/>
                    <w:rPr>
                      <w:rFonts w:ascii="Times New Roman" w:hAnsi="Times New Roman" w:cs="Times New Roman"/>
                      <w:sz w:val="21"/>
                      <w:szCs w:val="21"/>
                      <w:lang w:eastAsia="en-US"/>
                    </w:rPr>
                  </w:pPr>
                  <w:r>
                    <w:rPr>
                      <w:rFonts w:ascii="Times New Roman" w:hAnsi="Times New Roman" w:cs="Times New Roman"/>
                      <w:spacing w:val="-2"/>
                      <w:sz w:val="21"/>
                      <w:szCs w:val="21"/>
                      <w:lang w:eastAsia="en-US"/>
                    </w:rPr>
                    <w:t>间歇排放时段</w:t>
                  </w:r>
                </w:p>
              </w:tc>
              <w:tc>
                <w:tcPr>
                  <w:tcW w:w="2410" w:type="dxa"/>
                  <w:gridSpan w:val="3"/>
                  <w:vAlign w:val="center"/>
                </w:tcPr>
                <w:p w14:paraId="4C3325E2">
                  <w:pPr>
                    <w:pStyle w:val="76"/>
                    <w:adjustRightInd w:val="0"/>
                    <w:snapToGrid w:val="0"/>
                    <w:rPr>
                      <w:rFonts w:ascii="Times New Roman" w:hAnsi="Times New Roman" w:cs="Times New Roman"/>
                      <w:spacing w:val="-2"/>
                      <w:sz w:val="21"/>
                      <w:szCs w:val="21"/>
                      <w:lang w:eastAsia="en-US"/>
                    </w:rPr>
                  </w:pPr>
                  <w:r>
                    <w:rPr>
                      <w:rFonts w:ascii="Times New Roman" w:hAnsi="Times New Roman" w:cs="Times New Roman"/>
                      <w:spacing w:val="-2"/>
                      <w:sz w:val="21"/>
                      <w:szCs w:val="21"/>
                      <w:lang w:eastAsia="en-US"/>
                    </w:rPr>
                    <w:t>受纳污水处理厂信息</w:t>
                  </w:r>
                </w:p>
              </w:tc>
            </w:tr>
            <w:tr w14:paraId="3C71B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252" w:type="dxa"/>
                  <w:vMerge w:val="continue"/>
                  <w:vAlign w:val="center"/>
                </w:tcPr>
                <w:p w14:paraId="42554DFF">
                  <w:pPr>
                    <w:autoSpaceDE w:val="0"/>
                    <w:autoSpaceDN w:val="0"/>
                    <w:adjustRightInd w:val="0"/>
                    <w:snapToGrid w:val="0"/>
                    <w:spacing w:line="240" w:lineRule="auto"/>
                    <w:ind w:firstLine="0" w:firstLineChars="0"/>
                    <w:jc w:val="center"/>
                    <w:rPr>
                      <w:sz w:val="21"/>
                      <w:szCs w:val="21"/>
                      <w:lang w:eastAsia="en-US"/>
                    </w:rPr>
                  </w:pPr>
                </w:p>
              </w:tc>
              <w:tc>
                <w:tcPr>
                  <w:tcW w:w="737" w:type="dxa"/>
                  <w:vMerge w:val="continue"/>
                  <w:vAlign w:val="center"/>
                </w:tcPr>
                <w:p w14:paraId="4107D252">
                  <w:pPr>
                    <w:pStyle w:val="76"/>
                    <w:adjustRightInd w:val="0"/>
                    <w:snapToGrid w:val="0"/>
                    <w:rPr>
                      <w:rFonts w:ascii="Times New Roman" w:hAnsi="Times New Roman" w:cs="Times New Roman"/>
                      <w:spacing w:val="-2"/>
                      <w:sz w:val="21"/>
                      <w:szCs w:val="21"/>
                      <w:lang w:eastAsia="en-US"/>
                    </w:rPr>
                  </w:pPr>
                </w:p>
              </w:tc>
              <w:tc>
                <w:tcPr>
                  <w:tcW w:w="1030" w:type="dxa"/>
                  <w:vAlign w:val="center"/>
                </w:tcPr>
                <w:p w14:paraId="635607C4">
                  <w:pPr>
                    <w:pStyle w:val="76"/>
                    <w:adjustRightInd w:val="0"/>
                    <w:snapToGrid w:val="0"/>
                    <w:rPr>
                      <w:rFonts w:ascii="Times New Roman" w:hAnsi="Times New Roman" w:cs="Times New Roman"/>
                      <w:spacing w:val="-2"/>
                      <w:sz w:val="21"/>
                      <w:szCs w:val="21"/>
                      <w:lang w:eastAsia="en-US"/>
                    </w:rPr>
                  </w:pPr>
                  <w:r>
                    <w:rPr>
                      <w:rFonts w:ascii="Times New Roman" w:hAnsi="Times New Roman" w:cs="Times New Roman"/>
                      <w:spacing w:val="-2"/>
                      <w:sz w:val="21"/>
                      <w:szCs w:val="21"/>
                      <w:lang w:eastAsia="en-US"/>
                    </w:rPr>
                    <w:t>经度</w:t>
                  </w:r>
                </w:p>
              </w:tc>
              <w:tc>
                <w:tcPr>
                  <w:tcW w:w="917" w:type="dxa"/>
                  <w:vAlign w:val="center"/>
                </w:tcPr>
                <w:p w14:paraId="2D24C3EE">
                  <w:pPr>
                    <w:pStyle w:val="76"/>
                    <w:adjustRightInd w:val="0"/>
                    <w:snapToGrid w:val="0"/>
                    <w:rPr>
                      <w:rFonts w:ascii="Times New Roman" w:hAnsi="Times New Roman" w:cs="Times New Roman"/>
                      <w:spacing w:val="-2"/>
                      <w:sz w:val="21"/>
                      <w:szCs w:val="21"/>
                      <w:lang w:eastAsia="en-US"/>
                    </w:rPr>
                  </w:pPr>
                  <w:r>
                    <w:rPr>
                      <w:rFonts w:ascii="Times New Roman" w:hAnsi="Times New Roman" w:cs="Times New Roman"/>
                      <w:spacing w:val="-2"/>
                      <w:sz w:val="21"/>
                      <w:szCs w:val="21"/>
                      <w:lang w:eastAsia="en-US"/>
                    </w:rPr>
                    <w:t>纬度</w:t>
                  </w:r>
                </w:p>
              </w:tc>
              <w:tc>
                <w:tcPr>
                  <w:tcW w:w="779" w:type="dxa"/>
                  <w:vMerge w:val="continue"/>
                  <w:vAlign w:val="center"/>
                </w:tcPr>
                <w:p w14:paraId="534F6AC9">
                  <w:pPr>
                    <w:autoSpaceDE w:val="0"/>
                    <w:autoSpaceDN w:val="0"/>
                    <w:adjustRightInd w:val="0"/>
                    <w:snapToGrid w:val="0"/>
                    <w:spacing w:line="240" w:lineRule="auto"/>
                    <w:ind w:firstLine="0" w:firstLineChars="0"/>
                    <w:jc w:val="center"/>
                    <w:rPr>
                      <w:sz w:val="21"/>
                      <w:szCs w:val="21"/>
                      <w:lang w:eastAsia="en-US"/>
                    </w:rPr>
                  </w:pPr>
                </w:p>
              </w:tc>
              <w:tc>
                <w:tcPr>
                  <w:tcW w:w="544" w:type="dxa"/>
                  <w:vMerge w:val="continue"/>
                  <w:vAlign w:val="center"/>
                </w:tcPr>
                <w:p w14:paraId="2FA57DE5">
                  <w:pPr>
                    <w:autoSpaceDE w:val="0"/>
                    <w:autoSpaceDN w:val="0"/>
                    <w:adjustRightInd w:val="0"/>
                    <w:snapToGrid w:val="0"/>
                    <w:spacing w:line="240" w:lineRule="auto"/>
                    <w:ind w:firstLine="0" w:firstLineChars="0"/>
                    <w:jc w:val="center"/>
                    <w:rPr>
                      <w:sz w:val="21"/>
                      <w:szCs w:val="21"/>
                      <w:lang w:eastAsia="en-US"/>
                    </w:rPr>
                  </w:pPr>
                </w:p>
              </w:tc>
              <w:tc>
                <w:tcPr>
                  <w:tcW w:w="1364" w:type="dxa"/>
                  <w:vMerge w:val="continue"/>
                  <w:vAlign w:val="center"/>
                </w:tcPr>
                <w:p w14:paraId="1ACED778">
                  <w:pPr>
                    <w:autoSpaceDE w:val="0"/>
                    <w:autoSpaceDN w:val="0"/>
                    <w:adjustRightInd w:val="0"/>
                    <w:snapToGrid w:val="0"/>
                    <w:spacing w:line="240" w:lineRule="auto"/>
                    <w:ind w:firstLine="0" w:firstLineChars="0"/>
                    <w:jc w:val="center"/>
                    <w:rPr>
                      <w:sz w:val="21"/>
                      <w:szCs w:val="21"/>
                      <w:lang w:eastAsia="en-US"/>
                    </w:rPr>
                  </w:pPr>
                </w:p>
              </w:tc>
              <w:tc>
                <w:tcPr>
                  <w:tcW w:w="391" w:type="dxa"/>
                  <w:vMerge w:val="continue"/>
                  <w:vAlign w:val="center"/>
                </w:tcPr>
                <w:p w14:paraId="6E7E17A3">
                  <w:pPr>
                    <w:autoSpaceDE w:val="0"/>
                    <w:autoSpaceDN w:val="0"/>
                    <w:adjustRightInd w:val="0"/>
                    <w:snapToGrid w:val="0"/>
                    <w:spacing w:line="240" w:lineRule="auto"/>
                    <w:ind w:firstLine="0" w:firstLineChars="0"/>
                    <w:jc w:val="center"/>
                    <w:rPr>
                      <w:sz w:val="21"/>
                      <w:szCs w:val="21"/>
                      <w:lang w:eastAsia="en-US"/>
                    </w:rPr>
                  </w:pPr>
                </w:p>
              </w:tc>
              <w:tc>
                <w:tcPr>
                  <w:tcW w:w="539" w:type="dxa"/>
                  <w:vAlign w:val="center"/>
                </w:tcPr>
                <w:p w14:paraId="48F3299D">
                  <w:pPr>
                    <w:pStyle w:val="76"/>
                    <w:adjustRightInd w:val="0"/>
                    <w:snapToGrid w:val="0"/>
                    <w:rPr>
                      <w:rFonts w:ascii="Times New Roman" w:hAnsi="Times New Roman" w:cs="Times New Roman"/>
                      <w:spacing w:val="-2"/>
                      <w:sz w:val="21"/>
                      <w:szCs w:val="21"/>
                      <w:lang w:eastAsia="en-US"/>
                    </w:rPr>
                  </w:pPr>
                  <w:r>
                    <w:rPr>
                      <w:rFonts w:ascii="Times New Roman" w:hAnsi="Times New Roman" w:cs="Times New Roman"/>
                      <w:spacing w:val="-2"/>
                      <w:sz w:val="21"/>
                      <w:szCs w:val="21"/>
                      <w:lang w:eastAsia="en-US"/>
                    </w:rPr>
                    <w:t>名称</w:t>
                  </w:r>
                </w:p>
              </w:tc>
              <w:tc>
                <w:tcPr>
                  <w:tcW w:w="640" w:type="dxa"/>
                  <w:vAlign w:val="center"/>
                </w:tcPr>
                <w:p w14:paraId="726F0A49">
                  <w:pPr>
                    <w:pStyle w:val="76"/>
                    <w:adjustRightInd w:val="0"/>
                    <w:snapToGrid w:val="0"/>
                    <w:rPr>
                      <w:rFonts w:ascii="Times New Roman" w:hAnsi="Times New Roman" w:cs="Times New Roman"/>
                      <w:spacing w:val="-2"/>
                      <w:sz w:val="21"/>
                      <w:szCs w:val="21"/>
                      <w:lang w:eastAsia="en-US"/>
                    </w:rPr>
                  </w:pPr>
                  <w:r>
                    <w:rPr>
                      <w:rFonts w:ascii="Times New Roman" w:hAnsi="Times New Roman" w:cs="Times New Roman"/>
                      <w:spacing w:val="-2"/>
                      <w:sz w:val="21"/>
                      <w:szCs w:val="21"/>
                      <w:lang w:eastAsia="en-US"/>
                    </w:rPr>
                    <w:t>污染物种类</w:t>
                  </w:r>
                </w:p>
              </w:tc>
              <w:tc>
                <w:tcPr>
                  <w:tcW w:w="1231" w:type="dxa"/>
                  <w:vAlign w:val="center"/>
                </w:tcPr>
                <w:p w14:paraId="07B7BE69">
                  <w:pPr>
                    <w:pStyle w:val="76"/>
                    <w:adjustRightInd w:val="0"/>
                    <w:snapToGrid w:val="0"/>
                    <w:rPr>
                      <w:rFonts w:ascii="Times New Roman" w:hAnsi="Times New Roman" w:cs="Times New Roman"/>
                      <w:spacing w:val="-2"/>
                      <w:sz w:val="21"/>
                      <w:szCs w:val="21"/>
                    </w:rPr>
                  </w:pPr>
                  <w:r>
                    <w:rPr>
                      <w:rFonts w:ascii="Times New Roman" w:hAnsi="Times New Roman" w:cs="Times New Roman"/>
                      <w:spacing w:val="-2"/>
                      <w:sz w:val="21"/>
                      <w:szCs w:val="21"/>
                    </w:rPr>
                    <w:t>国家或地方污染物排放标准浓度限值</w:t>
                  </w:r>
                </w:p>
                <w:p w14:paraId="24FA377C">
                  <w:pPr>
                    <w:pStyle w:val="76"/>
                    <w:adjustRightInd w:val="0"/>
                    <w:snapToGrid w:val="0"/>
                    <w:rPr>
                      <w:rFonts w:ascii="Times New Roman" w:hAnsi="Times New Roman" w:cs="Times New Roman"/>
                      <w:spacing w:val="-2"/>
                      <w:sz w:val="21"/>
                      <w:szCs w:val="21"/>
                      <w:lang w:eastAsia="en-US"/>
                    </w:rPr>
                  </w:pPr>
                  <w:r>
                    <w:rPr>
                      <w:rFonts w:ascii="Times New Roman" w:hAnsi="Times New Roman" w:cs="Times New Roman"/>
                      <w:spacing w:val="-2"/>
                      <w:sz w:val="21"/>
                      <w:szCs w:val="21"/>
                      <w:lang w:eastAsia="en-US"/>
                    </w:rPr>
                    <w:t>（mg/l）</w:t>
                  </w:r>
                </w:p>
              </w:tc>
            </w:tr>
            <w:tr w14:paraId="34250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jc w:val="center"/>
              </w:trPr>
              <w:tc>
                <w:tcPr>
                  <w:tcW w:w="252" w:type="dxa"/>
                  <w:vMerge w:val="restart"/>
                  <w:vAlign w:val="center"/>
                </w:tcPr>
                <w:p w14:paraId="364DD30F">
                  <w:pPr>
                    <w:pStyle w:val="76"/>
                    <w:adjustRightInd w:val="0"/>
                    <w:snapToGrid w:val="0"/>
                    <w:rPr>
                      <w:rFonts w:ascii="Times New Roman" w:hAnsi="Times New Roman" w:cs="Times New Roman"/>
                      <w:sz w:val="21"/>
                      <w:szCs w:val="21"/>
                      <w:lang w:eastAsia="en-US"/>
                    </w:rPr>
                  </w:pPr>
                  <w:r>
                    <w:rPr>
                      <w:rFonts w:ascii="Times New Roman" w:hAnsi="Times New Roman" w:cs="Times New Roman"/>
                      <w:w w:val="99"/>
                      <w:sz w:val="21"/>
                      <w:szCs w:val="21"/>
                      <w:lang w:eastAsia="en-US"/>
                    </w:rPr>
                    <w:t>1</w:t>
                  </w:r>
                </w:p>
              </w:tc>
              <w:tc>
                <w:tcPr>
                  <w:tcW w:w="737" w:type="dxa"/>
                  <w:vMerge w:val="restart"/>
                  <w:vAlign w:val="center"/>
                </w:tcPr>
                <w:p w14:paraId="10A5C83F">
                  <w:pPr>
                    <w:pStyle w:val="76"/>
                    <w:adjustRightInd w:val="0"/>
                    <w:snapToGrid w:val="0"/>
                    <w:rPr>
                      <w:rFonts w:ascii="Times New Roman" w:hAnsi="Times New Roman" w:cs="Times New Roman"/>
                      <w:sz w:val="21"/>
                      <w:szCs w:val="21"/>
                      <w:lang w:eastAsia="en-US"/>
                    </w:rPr>
                  </w:pPr>
                  <w:r>
                    <w:rPr>
                      <w:rFonts w:ascii="Times New Roman" w:hAnsi="Times New Roman" w:cs="Times New Roman"/>
                      <w:sz w:val="21"/>
                      <w:szCs w:val="21"/>
                      <w:lang w:eastAsia="en-US"/>
                    </w:rPr>
                    <w:t>DW001</w:t>
                  </w:r>
                </w:p>
              </w:tc>
              <w:tc>
                <w:tcPr>
                  <w:tcW w:w="1030" w:type="dxa"/>
                  <w:vMerge w:val="restart"/>
                  <w:vAlign w:val="center"/>
                </w:tcPr>
                <w:p w14:paraId="5EFB8919">
                  <w:pPr>
                    <w:pStyle w:val="76"/>
                    <w:adjustRightInd w:val="0"/>
                    <w:snapToGrid w:val="0"/>
                    <w:rPr>
                      <w:rFonts w:ascii="Times New Roman" w:hAnsi="Times New Roman" w:cs="Times New Roman"/>
                      <w:sz w:val="21"/>
                      <w:szCs w:val="21"/>
                      <w:lang w:eastAsia="en-US"/>
                    </w:rPr>
                  </w:pPr>
                  <w:r>
                    <w:rPr>
                      <w:rFonts w:hint="eastAsia" w:ascii="Times New Roman" w:hAnsi="Times New Roman" w:cs="Times New Roman"/>
                      <w:sz w:val="21"/>
                      <w:szCs w:val="21"/>
                      <w:lang w:eastAsia="en-US"/>
                    </w:rPr>
                    <w:t>116°26'23.291"</w:t>
                  </w:r>
                </w:p>
              </w:tc>
              <w:tc>
                <w:tcPr>
                  <w:tcW w:w="917" w:type="dxa"/>
                  <w:vMerge w:val="restart"/>
                  <w:vAlign w:val="center"/>
                </w:tcPr>
                <w:p w14:paraId="54D7EB05">
                  <w:pPr>
                    <w:pStyle w:val="76"/>
                    <w:adjustRightInd w:val="0"/>
                    <w:snapToGrid w:val="0"/>
                    <w:rPr>
                      <w:rFonts w:ascii="Times New Roman" w:hAnsi="Times New Roman" w:cs="Times New Roman"/>
                      <w:sz w:val="21"/>
                      <w:szCs w:val="21"/>
                      <w:lang w:eastAsia="en-US"/>
                    </w:rPr>
                  </w:pPr>
                  <w:r>
                    <w:rPr>
                      <w:rFonts w:hint="eastAsia" w:ascii="Times New Roman" w:hAnsi="Times New Roman" w:cs="Times New Roman"/>
                      <w:sz w:val="21"/>
                      <w:szCs w:val="21"/>
                      <w:lang w:eastAsia="en-US"/>
                    </w:rPr>
                    <w:t>23°18'14.382"</w:t>
                  </w:r>
                </w:p>
              </w:tc>
              <w:tc>
                <w:tcPr>
                  <w:tcW w:w="779" w:type="dxa"/>
                  <w:vMerge w:val="restart"/>
                  <w:vAlign w:val="center"/>
                </w:tcPr>
                <w:p w14:paraId="05B10D6F">
                  <w:pPr>
                    <w:pStyle w:val="76"/>
                    <w:adjustRightInd w:val="0"/>
                    <w:snapToGrid w:val="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72</w:t>
                  </w:r>
                </w:p>
              </w:tc>
              <w:tc>
                <w:tcPr>
                  <w:tcW w:w="544" w:type="dxa"/>
                  <w:vMerge w:val="restart"/>
                  <w:vAlign w:val="center"/>
                </w:tcPr>
                <w:p w14:paraId="19F6B688">
                  <w:pPr>
                    <w:pStyle w:val="76"/>
                    <w:adjustRightInd w:val="0"/>
                    <w:snapToGrid w:val="0"/>
                    <w:rPr>
                      <w:rFonts w:ascii="Times New Roman" w:hAnsi="Times New Roman" w:cs="Times New Roman"/>
                      <w:sz w:val="21"/>
                      <w:szCs w:val="21"/>
                    </w:rPr>
                  </w:pPr>
                  <w:r>
                    <w:rPr>
                      <w:rFonts w:hint="eastAsia" w:ascii="Times New Roman" w:hAnsi="Times New Roman" w:cs="Times New Roman"/>
                      <w:sz w:val="21"/>
                      <w:szCs w:val="21"/>
                      <w:lang w:val="en-US" w:eastAsia="zh-CN"/>
                    </w:rPr>
                    <w:t>潮阳区</w:t>
                  </w:r>
                  <w:r>
                    <w:rPr>
                      <w:rFonts w:ascii="Times New Roman" w:hAnsi="Times New Roman" w:cs="Times New Roman"/>
                      <w:sz w:val="21"/>
                      <w:szCs w:val="21"/>
                    </w:rPr>
                    <w:t>污水处理厂</w:t>
                  </w:r>
                </w:p>
              </w:tc>
              <w:tc>
                <w:tcPr>
                  <w:tcW w:w="1364" w:type="dxa"/>
                  <w:vMerge w:val="restart"/>
                  <w:vAlign w:val="center"/>
                </w:tcPr>
                <w:p w14:paraId="6ADF4F50">
                  <w:pPr>
                    <w:pStyle w:val="76"/>
                    <w:adjustRightInd w:val="0"/>
                    <w:snapToGrid w:val="0"/>
                    <w:rPr>
                      <w:rFonts w:ascii="Times New Roman" w:hAnsi="Times New Roman" w:cs="Times New Roman"/>
                      <w:sz w:val="21"/>
                      <w:szCs w:val="21"/>
                    </w:rPr>
                  </w:pPr>
                  <w:r>
                    <w:rPr>
                      <w:rFonts w:ascii="Times New Roman" w:hAnsi="Times New Roman" w:cs="Times New Roman"/>
                      <w:spacing w:val="-1"/>
                      <w:sz w:val="21"/>
                      <w:szCs w:val="21"/>
                    </w:rPr>
                    <w:t>间断排放，</w:t>
                  </w:r>
                  <w:r>
                    <w:rPr>
                      <w:rFonts w:ascii="Times New Roman" w:hAnsi="Times New Roman" w:cs="Times New Roman"/>
                      <w:sz w:val="21"/>
                      <w:szCs w:val="21"/>
                    </w:rPr>
                    <w:t>排放期间流量不稳定且无规</w:t>
                  </w:r>
                  <w:r>
                    <w:rPr>
                      <w:rFonts w:ascii="Times New Roman" w:hAnsi="Times New Roman" w:cs="Times New Roman"/>
                      <w:spacing w:val="-3"/>
                      <w:sz w:val="21"/>
                      <w:szCs w:val="21"/>
                    </w:rPr>
                    <w:t>律，但不属</w:t>
                  </w:r>
                  <w:r>
                    <w:rPr>
                      <w:rFonts w:ascii="Times New Roman" w:hAnsi="Times New Roman" w:cs="Times New Roman"/>
                      <w:sz w:val="21"/>
                      <w:szCs w:val="21"/>
                    </w:rPr>
                    <w:t>于冲击型排放</w:t>
                  </w:r>
                </w:p>
              </w:tc>
              <w:tc>
                <w:tcPr>
                  <w:tcW w:w="391" w:type="dxa"/>
                  <w:vMerge w:val="restart"/>
                  <w:vAlign w:val="center"/>
                </w:tcPr>
                <w:p w14:paraId="1D5DD6C0">
                  <w:pPr>
                    <w:pStyle w:val="76"/>
                    <w:adjustRightInd w:val="0"/>
                    <w:snapToGrid w:val="0"/>
                    <w:rPr>
                      <w:rFonts w:ascii="Times New Roman" w:hAnsi="Times New Roman" w:cs="Times New Roman"/>
                      <w:sz w:val="21"/>
                      <w:szCs w:val="21"/>
                      <w:lang w:eastAsia="en-US"/>
                    </w:rPr>
                  </w:pPr>
                  <w:r>
                    <w:rPr>
                      <w:rFonts w:ascii="Times New Roman" w:hAnsi="Times New Roman" w:cs="Times New Roman"/>
                      <w:spacing w:val="-4"/>
                      <w:sz w:val="21"/>
                      <w:szCs w:val="21"/>
                      <w:lang w:eastAsia="en-US"/>
                    </w:rPr>
                    <w:t>24小时</w:t>
                  </w:r>
                </w:p>
              </w:tc>
              <w:tc>
                <w:tcPr>
                  <w:tcW w:w="539" w:type="dxa"/>
                  <w:vMerge w:val="restart"/>
                  <w:vAlign w:val="center"/>
                </w:tcPr>
                <w:p w14:paraId="7F4569BD">
                  <w:pPr>
                    <w:pStyle w:val="76"/>
                    <w:adjustRightInd w:val="0"/>
                    <w:snapToGrid w:val="0"/>
                    <w:rPr>
                      <w:rFonts w:ascii="Times New Roman" w:hAnsi="Times New Roman" w:cs="Times New Roman"/>
                      <w:sz w:val="21"/>
                      <w:szCs w:val="21"/>
                    </w:rPr>
                  </w:pPr>
                  <w:r>
                    <w:rPr>
                      <w:rFonts w:hint="eastAsia" w:ascii="Times New Roman" w:hAnsi="Times New Roman" w:cs="Times New Roman"/>
                      <w:spacing w:val="-1"/>
                      <w:sz w:val="21"/>
                      <w:szCs w:val="21"/>
                      <w:lang w:val="en-US" w:eastAsia="zh-CN"/>
                    </w:rPr>
                    <w:t>潮阳区</w:t>
                  </w:r>
                  <w:r>
                    <w:rPr>
                      <w:rFonts w:ascii="Times New Roman" w:hAnsi="Times New Roman" w:cs="Times New Roman"/>
                      <w:spacing w:val="-1"/>
                      <w:sz w:val="21"/>
                      <w:szCs w:val="21"/>
                    </w:rPr>
                    <w:t>污水处理厂</w:t>
                  </w:r>
                </w:p>
              </w:tc>
              <w:tc>
                <w:tcPr>
                  <w:tcW w:w="640" w:type="dxa"/>
                  <w:vAlign w:val="center"/>
                </w:tcPr>
                <w:p w14:paraId="205EA782">
                  <w:pPr>
                    <w:pStyle w:val="76"/>
                    <w:adjustRightInd w:val="0"/>
                    <w:snapToGrid w:val="0"/>
                    <w:rPr>
                      <w:rFonts w:ascii="Times New Roman" w:hAnsi="Times New Roman" w:cs="Times New Roman"/>
                      <w:sz w:val="21"/>
                      <w:szCs w:val="21"/>
                    </w:rPr>
                  </w:pPr>
                  <w:r>
                    <w:rPr>
                      <w:rFonts w:ascii="Times New Roman" w:hAnsi="Times New Roman" w:cs="Times New Roman"/>
                      <w:sz w:val="21"/>
                      <w:szCs w:val="21"/>
                    </w:rPr>
                    <w:t>PH(无量纲)</w:t>
                  </w:r>
                </w:p>
              </w:tc>
              <w:tc>
                <w:tcPr>
                  <w:tcW w:w="1231" w:type="dxa"/>
                  <w:vAlign w:val="center"/>
                </w:tcPr>
                <w:p w14:paraId="1800BEA6">
                  <w:pPr>
                    <w:pStyle w:val="76"/>
                    <w:adjustRightInd w:val="0"/>
                    <w:snapToGrid w:val="0"/>
                    <w:rPr>
                      <w:rFonts w:ascii="Times New Roman" w:hAnsi="Times New Roman" w:cs="Times New Roman"/>
                      <w:sz w:val="21"/>
                      <w:szCs w:val="21"/>
                    </w:rPr>
                  </w:pPr>
                  <w:r>
                    <w:rPr>
                      <w:rFonts w:ascii="Times New Roman" w:hAnsi="Times New Roman" w:cs="Times New Roman"/>
                      <w:sz w:val="21"/>
                      <w:szCs w:val="21"/>
                    </w:rPr>
                    <w:t>6~9</w:t>
                  </w:r>
                </w:p>
              </w:tc>
            </w:tr>
            <w:tr w14:paraId="63FBD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52" w:type="dxa"/>
                  <w:vMerge w:val="continue"/>
                  <w:vAlign w:val="center"/>
                </w:tcPr>
                <w:p w14:paraId="3B0C32E9">
                  <w:pPr>
                    <w:autoSpaceDE w:val="0"/>
                    <w:autoSpaceDN w:val="0"/>
                    <w:adjustRightInd w:val="0"/>
                    <w:snapToGrid w:val="0"/>
                    <w:spacing w:line="240" w:lineRule="auto"/>
                    <w:ind w:firstLine="0" w:firstLineChars="0"/>
                    <w:jc w:val="center"/>
                    <w:rPr>
                      <w:sz w:val="21"/>
                      <w:szCs w:val="21"/>
                    </w:rPr>
                  </w:pPr>
                </w:p>
              </w:tc>
              <w:tc>
                <w:tcPr>
                  <w:tcW w:w="737" w:type="dxa"/>
                  <w:vMerge w:val="continue"/>
                  <w:vAlign w:val="center"/>
                </w:tcPr>
                <w:p w14:paraId="082BD09A">
                  <w:pPr>
                    <w:autoSpaceDE w:val="0"/>
                    <w:autoSpaceDN w:val="0"/>
                    <w:adjustRightInd w:val="0"/>
                    <w:snapToGrid w:val="0"/>
                    <w:spacing w:line="240" w:lineRule="auto"/>
                    <w:ind w:firstLine="0" w:firstLineChars="0"/>
                    <w:jc w:val="center"/>
                    <w:rPr>
                      <w:sz w:val="21"/>
                      <w:szCs w:val="21"/>
                    </w:rPr>
                  </w:pPr>
                </w:p>
              </w:tc>
              <w:tc>
                <w:tcPr>
                  <w:tcW w:w="1030" w:type="dxa"/>
                  <w:vMerge w:val="continue"/>
                  <w:vAlign w:val="center"/>
                </w:tcPr>
                <w:p w14:paraId="366620A7">
                  <w:pPr>
                    <w:autoSpaceDE w:val="0"/>
                    <w:autoSpaceDN w:val="0"/>
                    <w:adjustRightInd w:val="0"/>
                    <w:snapToGrid w:val="0"/>
                    <w:spacing w:line="240" w:lineRule="auto"/>
                    <w:ind w:firstLine="0" w:firstLineChars="0"/>
                    <w:jc w:val="center"/>
                    <w:rPr>
                      <w:sz w:val="21"/>
                      <w:szCs w:val="21"/>
                    </w:rPr>
                  </w:pPr>
                </w:p>
              </w:tc>
              <w:tc>
                <w:tcPr>
                  <w:tcW w:w="917" w:type="dxa"/>
                  <w:vMerge w:val="continue"/>
                  <w:vAlign w:val="center"/>
                </w:tcPr>
                <w:p w14:paraId="43C88EFE">
                  <w:pPr>
                    <w:autoSpaceDE w:val="0"/>
                    <w:autoSpaceDN w:val="0"/>
                    <w:adjustRightInd w:val="0"/>
                    <w:snapToGrid w:val="0"/>
                    <w:spacing w:line="240" w:lineRule="auto"/>
                    <w:ind w:firstLine="0" w:firstLineChars="0"/>
                    <w:jc w:val="center"/>
                    <w:rPr>
                      <w:sz w:val="21"/>
                      <w:szCs w:val="21"/>
                    </w:rPr>
                  </w:pPr>
                </w:p>
              </w:tc>
              <w:tc>
                <w:tcPr>
                  <w:tcW w:w="779" w:type="dxa"/>
                  <w:vMerge w:val="continue"/>
                  <w:vAlign w:val="center"/>
                </w:tcPr>
                <w:p w14:paraId="1F62610D">
                  <w:pPr>
                    <w:autoSpaceDE w:val="0"/>
                    <w:autoSpaceDN w:val="0"/>
                    <w:adjustRightInd w:val="0"/>
                    <w:snapToGrid w:val="0"/>
                    <w:spacing w:line="240" w:lineRule="auto"/>
                    <w:ind w:firstLine="0" w:firstLineChars="0"/>
                    <w:jc w:val="center"/>
                    <w:rPr>
                      <w:sz w:val="21"/>
                      <w:szCs w:val="21"/>
                    </w:rPr>
                  </w:pPr>
                </w:p>
              </w:tc>
              <w:tc>
                <w:tcPr>
                  <w:tcW w:w="544" w:type="dxa"/>
                  <w:vMerge w:val="continue"/>
                  <w:vAlign w:val="center"/>
                </w:tcPr>
                <w:p w14:paraId="05E55AC3">
                  <w:pPr>
                    <w:autoSpaceDE w:val="0"/>
                    <w:autoSpaceDN w:val="0"/>
                    <w:adjustRightInd w:val="0"/>
                    <w:snapToGrid w:val="0"/>
                    <w:spacing w:line="240" w:lineRule="auto"/>
                    <w:ind w:firstLine="0" w:firstLineChars="0"/>
                    <w:jc w:val="center"/>
                    <w:rPr>
                      <w:sz w:val="21"/>
                      <w:szCs w:val="21"/>
                    </w:rPr>
                  </w:pPr>
                </w:p>
              </w:tc>
              <w:tc>
                <w:tcPr>
                  <w:tcW w:w="1364" w:type="dxa"/>
                  <w:vMerge w:val="continue"/>
                  <w:vAlign w:val="center"/>
                </w:tcPr>
                <w:p w14:paraId="63FB5697">
                  <w:pPr>
                    <w:autoSpaceDE w:val="0"/>
                    <w:autoSpaceDN w:val="0"/>
                    <w:adjustRightInd w:val="0"/>
                    <w:snapToGrid w:val="0"/>
                    <w:spacing w:line="240" w:lineRule="auto"/>
                    <w:ind w:firstLine="0" w:firstLineChars="0"/>
                    <w:jc w:val="center"/>
                    <w:rPr>
                      <w:sz w:val="21"/>
                      <w:szCs w:val="21"/>
                    </w:rPr>
                  </w:pPr>
                </w:p>
              </w:tc>
              <w:tc>
                <w:tcPr>
                  <w:tcW w:w="391" w:type="dxa"/>
                  <w:vMerge w:val="continue"/>
                  <w:vAlign w:val="center"/>
                </w:tcPr>
                <w:p w14:paraId="42113873">
                  <w:pPr>
                    <w:autoSpaceDE w:val="0"/>
                    <w:autoSpaceDN w:val="0"/>
                    <w:adjustRightInd w:val="0"/>
                    <w:snapToGrid w:val="0"/>
                    <w:spacing w:line="240" w:lineRule="auto"/>
                    <w:ind w:firstLine="0" w:firstLineChars="0"/>
                    <w:jc w:val="center"/>
                    <w:rPr>
                      <w:sz w:val="21"/>
                      <w:szCs w:val="21"/>
                    </w:rPr>
                  </w:pPr>
                </w:p>
              </w:tc>
              <w:tc>
                <w:tcPr>
                  <w:tcW w:w="539" w:type="dxa"/>
                  <w:vMerge w:val="continue"/>
                  <w:vAlign w:val="center"/>
                </w:tcPr>
                <w:p w14:paraId="7432CDFB">
                  <w:pPr>
                    <w:autoSpaceDE w:val="0"/>
                    <w:autoSpaceDN w:val="0"/>
                    <w:adjustRightInd w:val="0"/>
                    <w:snapToGrid w:val="0"/>
                    <w:spacing w:line="240" w:lineRule="auto"/>
                    <w:ind w:firstLine="0" w:firstLineChars="0"/>
                    <w:jc w:val="center"/>
                    <w:rPr>
                      <w:sz w:val="21"/>
                      <w:szCs w:val="21"/>
                    </w:rPr>
                  </w:pPr>
                </w:p>
              </w:tc>
              <w:tc>
                <w:tcPr>
                  <w:tcW w:w="640" w:type="dxa"/>
                  <w:vAlign w:val="center"/>
                </w:tcPr>
                <w:p w14:paraId="25329F58">
                  <w:pPr>
                    <w:pStyle w:val="76"/>
                    <w:adjustRightInd w:val="0"/>
                    <w:snapToGrid w:val="0"/>
                    <w:rPr>
                      <w:rFonts w:ascii="Times New Roman" w:hAnsi="Times New Roman" w:cs="Times New Roman"/>
                      <w:sz w:val="21"/>
                      <w:szCs w:val="21"/>
                      <w:lang w:val="en-US"/>
                    </w:rPr>
                  </w:pPr>
                  <w:r>
                    <w:rPr>
                      <w:rFonts w:ascii="Times New Roman" w:hAnsi="Times New Roman" w:cs="Times New Roman"/>
                      <w:sz w:val="21"/>
                      <w:szCs w:val="21"/>
                    </w:rPr>
                    <w:t>COD</w:t>
                  </w:r>
                  <w:r>
                    <w:rPr>
                      <w:rFonts w:ascii="Times New Roman" w:hAnsi="Times New Roman" w:cs="Times New Roman"/>
                      <w:sz w:val="21"/>
                      <w:szCs w:val="21"/>
                      <w:vertAlign w:val="subscript"/>
                    </w:rPr>
                    <w:t>Cr</w:t>
                  </w:r>
                </w:p>
              </w:tc>
              <w:tc>
                <w:tcPr>
                  <w:tcW w:w="1231" w:type="dxa"/>
                  <w:vAlign w:val="center"/>
                </w:tcPr>
                <w:p w14:paraId="603BB7FA">
                  <w:pPr>
                    <w:pStyle w:val="76"/>
                    <w:adjustRightInd w:val="0"/>
                    <w:snapToGrid w:val="0"/>
                    <w:rPr>
                      <w:rFonts w:ascii="Times New Roman" w:hAnsi="Times New Roman" w:cs="Times New Roman"/>
                      <w:sz w:val="21"/>
                      <w:szCs w:val="21"/>
                    </w:rPr>
                  </w:pPr>
                  <w:r>
                    <w:rPr>
                      <w:rFonts w:ascii="Times New Roman" w:hAnsi="Times New Roman" w:cs="Times New Roman"/>
                      <w:sz w:val="21"/>
                      <w:szCs w:val="21"/>
                      <w:lang w:val="en-US"/>
                    </w:rPr>
                    <w:t>40</w:t>
                  </w:r>
                </w:p>
              </w:tc>
            </w:tr>
            <w:tr w14:paraId="1C0B1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52" w:type="dxa"/>
                  <w:vMerge w:val="continue"/>
                  <w:vAlign w:val="center"/>
                </w:tcPr>
                <w:p w14:paraId="12FE75A2">
                  <w:pPr>
                    <w:autoSpaceDE w:val="0"/>
                    <w:autoSpaceDN w:val="0"/>
                    <w:adjustRightInd w:val="0"/>
                    <w:snapToGrid w:val="0"/>
                    <w:spacing w:line="240" w:lineRule="auto"/>
                    <w:ind w:firstLine="0" w:firstLineChars="0"/>
                    <w:jc w:val="center"/>
                    <w:rPr>
                      <w:sz w:val="21"/>
                      <w:szCs w:val="21"/>
                    </w:rPr>
                  </w:pPr>
                </w:p>
              </w:tc>
              <w:tc>
                <w:tcPr>
                  <w:tcW w:w="737" w:type="dxa"/>
                  <w:vMerge w:val="continue"/>
                  <w:vAlign w:val="center"/>
                </w:tcPr>
                <w:p w14:paraId="15D6F8D4">
                  <w:pPr>
                    <w:autoSpaceDE w:val="0"/>
                    <w:autoSpaceDN w:val="0"/>
                    <w:adjustRightInd w:val="0"/>
                    <w:snapToGrid w:val="0"/>
                    <w:spacing w:line="240" w:lineRule="auto"/>
                    <w:ind w:firstLine="0" w:firstLineChars="0"/>
                    <w:jc w:val="center"/>
                    <w:rPr>
                      <w:sz w:val="21"/>
                      <w:szCs w:val="21"/>
                    </w:rPr>
                  </w:pPr>
                </w:p>
              </w:tc>
              <w:tc>
                <w:tcPr>
                  <w:tcW w:w="1030" w:type="dxa"/>
                  <w:vMerge w:val="continue"/>
                  <w:vAlign w:val="center"/>
                </w:tcPr>
                <w:p w14:paraId="1E569251">
                  <w:pPr>
                    <w:autoSpaceDE w:val="0"/>
                    <w:autoSpaceDN w:val="0"/>
                    <w:adjustRightInd w:val="0"/>
                    <w:snapToGrid w:val="0"/>
                    <w:spacing w:line="240" w:lineRule="auto"/>
                    <w:ind w:firstLine="0" w:firstLineChars="0"/>
                    <w:jc w:val="center"/>
                    <w:rPr>
                      <w:sz w:val="21"/>
                      <w:szCs w:val="21"/>
                    </w:rPr>
                  </w:pPr>
                </w:p>
              </w:tc>
              <w:tc>
                <w:tcPr>
                  <w:tcW w:w="917" w:type="dxa"/>
                  <w:vMerge w:val="continue"/>
                  <w:vAlign w:val="center"/>
                </w:tcPr>
                <w:p w14:paraId="44158E2C">
                  <w:pPr>
                    <w:autoSpaceDE w:val="0"/>
                    <w:autoSpaceDN w:val="0"/>
                    <w:adjustRightInd w:val="0"/>
                    <w:snapToGrid w:val="0"/>
                    <w:spacing w:line="240" w:lineRule="auto"/>
                    <w:ind w:firstLine="0" w:firstLineChars="0"/>
                    <w:jc w:val="center"/>
                    <w:rPr>
                      <w:sz w:val="21"/>
                      <w:szCs w:val="21"/>
                    </w:rPr>
                  </w:pPr>
                </w:p>
              </w:tc>
              <w:tc>
                <w:tcPr>
                  <w:tcW w:w="779" w:type="dxa"/>
                  <w:vMerge w:val="continue"/>
                  <w:vAlign w:val="center"/>
                </w:tcPr>
                <w:p w14:paraId="536F8B9A">
                  <w:pPr>
                    <w:autoSpaceDE w:val="0"/>
                    <w:autoSpaceDN w:val="0"/>
                    <w:adjustRightInd w:val="0"/>
                    <w:snapToGrid w:val="0"/>
                    <w:spacing w:line="240" w:lineRule="auto"/>
                    <w:ind w:firstLine="0" w:firstLineChars="0"/>
                    <w:jc w:val="center"/>
                    <w:rPr>
                      <w:sz w:val="21"/>
                      <w:szCs w:val="21"/>
                    </w:rPr>
                  </w:pPr>
                </w:p>
              </w:tc>
              <w:tc>
                <w:tcPr>
                  <w:tcW w:w="544" w:type="dxa"/>
                  <w:vMerge w:val="continue"/>
                  <w:vAlign w:val="center"/>
                </w:tcPr>
                <w:p w14:paraId="00F51310">
                  <w:pPr>
                    <w:autoSpaceDE w:val="0"/>
                    <w:autoSpaceDN w:val="0"/>
                    <w:adjustRightInd w:val="0"/>
                    <w:snapToGrid w:val="0"/>
                    <w:spacing w:line="240" w:lineRule="auto"/>
                    <w:ind w:firstLine="0" w:firstLineChars="0"/>
                    <w:jc w:val="center"/>
                    <w:rPr>
                      <w:sz w:val="21"/>
                      <w:szCs w:val="21"/>
                    </w:rPr>
                  </w:pPr>
                </w:p>
              </w:tc>
              <w:tc>
                <w:tcPr>
                  <w:tcW w:w="1364" w:type="dxa"/>
                  <w:vMerge w:val="continue"/>
                  <w:vAlign w:val="center"/>
                </w:tcPr>
                <w:p w14:paraId="458CE1AC">
                  <w:pPr>
                    <w:autoSpaceDE w:val="0"/>
                    <w:autoSpaceDN w:val="0"/>
                    <w:adjustRightInd w:val="0"/>
                    <w:snapToGrid w:val="0"/>
                    <w:spacing w:line="240" w:lineRule="auto"/>
                    <w:ind w:firstLine="0" w:firstLineChars="0"/>
                    <w:jc w:val="center"/>
                    <w:rPr>
                      <w:sz w:val="21"/>
                      <w:szCs w:val="21"/>
                    </w:rPr>
                  </w:pPr>
                </w:p>
              </w:tc>
              <w:tc>
                <w:tcPr>
                  <w:tcW w:w="391" w:type="dxa"/>
                  <w:vMerge w:val="continue"/>
                  <w:vAlign w:val="center"/>
                </w:tcPr>
                <w:p w14:paraId="57DF4C37">
                  <w:pPr>
                    <w:autoSpaceDE w:val="0"/>
                    <w:autoSpaceDN w:val="0"/>
                    <w:adjustRightInd w:val="0"/>
                    <w:snapToGrid w:val="0"/>
                    <w:spacing w:line="240" w:lineRule="auto"/>
                    <w:ind w:firstLine="0" w:firstLineChars="0"/>
                    <w:jc w:val="center"/>
                    <w:rPr>
                      <w:sz w:val="21"/>
                      <w:szCs w:val="21"/>
                    </w:rPr>
                  </w:pPr>
                </w:p>
              </w:tc>
              <w:tc>
                <w:tcPr>
                  <w:tcW w:w="539" w:type="dxa"/>
                  <w:vMerge w:val="continue"/>
                  <w:vAlign w:val="center"/>
                </w:tcPr>
                <w:p w14:paraId="666D15E4">
                  <w:pPr>
                    <w:autoSpaceDE w:val="0"/>
                    <w:autoSpaceDN w:val="0"/>
                    <w:adjustRightInd w:val="0"/>
                    <w:snapToGrid w:val="0"/>
                    <w:spacing w:line="240" w:lineRule="auto"/>
                    <w:ind w:firstLine="0" w:firstLineChars="0"/>
                    <w:jc w:val="center"/>
                    <w:rPr>
                      <w:sz w:val="21"/>
                      <w:szCs w:val="21"/>
                    </w:rPr>
                  </w:pPr>
                </w:p>
              </w:tc>
              <w:tc>
                <w:tcPr>
                  <w:tcW w:w="640" w:type="dxa"/>
                  <w:vAlign w:val="center"/>
                </w:tcPr>
                <w:p w14:paraId="200C5893">
                  <w:pPr>
                    <w:pStyle w:val="76"/>
                    <w:adjustRightInd w:val="0"/>
                    <w:snapToGrid w:val="0"/>
                    <w:rPr>
                      <w:rFonts w:ascii="Times New Roman" w:hAnsi="Times New Roman" w:cs="Times New Roman"/>
                      <w:sz w:val="21"/>
                      <w:szCs w:val="21"/>
                      <w:lang w:val="en-US"/>
                    </w:rPr>
                  </w:pPr>
                  <w:r>
                    <w:rPr>
                      <w:rFonts w:ascii="Times New Roman" w:hAnsi="Times New Roman" w:cs="Times New Roman"/>
                      <w:sz w:val="21"/>
                      <w:szCs w:val="21"/>
                      <w:lang w:val="en-US"/>
                    </w:rPr>
                    <w:t>SS</w:t>
                  </w:r>
                </w:p>
              </w:tc>
              <w:tc>
                <w:tcPr>
                  <w:tcW w:w="1231" w:type="dxa"/>
                  <w:vAlign w:val="center"/>
                </w:tcPr>
                <w:p w14:paraId="29266CFB">
                  <w:pPr>
                    <w:pStyle w:val="76"/>
                    <w:adjustRightInd w:val="0"/>
                    <w:snapToGrid w:val="0"/>
                    <w:rPr>
                      <w:rFonts w:ascii="Times New Roman" w:hAnsi="Times New Roman" w:cs="Times New Roman"/>
                      <w:sz w:val="21"/>
                      <w:szCs w:val="21"/>
                      <w:lang w:val="en-US"/>
                    </w:rPr>
                  </w:pPr>
                  <w:r>
                    <w:rPr>
                      <w:rFonts w:ascii="Times New Roman" w:hAnsi="Times New Roman" w:cs="Times New Roman"/>
                      <w:sz w:val="21"/>
                      <w:szCs w:val="21"/>
                      <w:lang w:val="en-US"/>
                    </w:rPr>
                    <w:t>10</w:t>
                  </w:r>
                </w:p>
              </w:tc>
            </w:tr>
            <w:tr w14:paraId="2F301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jc w:val="center"/>
              </w:trPr>
              <w:tc>
                <w:tcPr>
                  <w:tcW w:w="252" w:type="dxa"/>
                  <w:vMerge w:val="continue"/>
                  <w:vAlign w:val="center"/>
                </w:tcPr>
                <w:p w14:paraId="59F93F97">
                  <w:pPr>
                    <w:autoSpaceDE w:val="0"/>
                    <w:autoSpaceDN w:val="0"/>
                    <w:adjustRightInd w:val="0"/>
                    <w:snapToGrid w:val="0"/>
                    <w:spacing w:line="240" w:lineRule="auto"/>
                    <w:ind w:firstLine="0" w:firstLineChars="0"/>
                    <w:jc w:val="center"/>
                    <w:rPr>
                      <w:sz w:val="21"/>
                      <w:szCs w:val="21"/>
                    </w:rPr>
                  </w:pPr>
                </w:p>
              </w:tc>
              <w:tc>
                <w:tcPr>
                  <w:tcW w:w="737" w:type="dxa"/>
                  <w:vMerge w:val="continue"/>
                  <w:vAlign w:val="center"/>
                </w:tcPr>
                <w:p w14:paraId="2D8B12E1">
                  <w:pPr>
                    <w:autoSpaceDE w:val="0"/>
                    <w:autoSpaceDN w:val="0"/>
                    <w:adjustRightInd w:val="0"/>
                    <w:snapToGrid w:val="0"/>
                    <w:spacing w:line="240" w:lineRule="auto"/>
                    <w:ind w:firstLine="0" w:firstLineChars="0"/>
                    <w:jc w:val="center"/>
                    <w:rPr>
                      <w:sz w:val="21"/>
                      <w:szCs w:val="21"/>
                    </w:rPr>
                  </w:pPr>
                </w:p>
              </w:tc>
              <w:tc>
                <w:tcPr>
                  <w:tcW w:w="1030" w:type="dxa"/>
                  <w:vMerge w:val="continue"/>
                  <w:vAlign w:val="center"/>
                </w:tcPr>
                <w:p w14:paraId="1B4BC7C0">
                  <w:pPr>
                    <w:autoSpaceDE w:val="0"/>
                    <w:autoSpaceDN w:val="0"/>
                    <w:adjustRightInd w:val="0"/>
                    <w:snapToGrid w:val="0"/>
                    <w:spacing w:line="240" w:lineRule="auto"/>
                    <w:ind w:firstLine="0" w:firstLineChars="0"/>
                    <w:jc w:val="center"/>
                    <w:rPr>
                      <w:sz w:val="21"/>
                      <w:szCs w:val="21"/>
                    </w:rPr>
                  </w:pPr>
                </w:p>
              </w:tc>
              <w:tc>
                <w:tcPr>
                  <w:tcW w:w="917" w:type="dxa"/>
                  <w:vMerge w:val="continue"/>
                  <w:vAlign w:val="center"/>
                </w:tcPr>
                <w:p w14:paraId="7019D0C9">
                  <w:pPr>
                    <w:autoSpaceDE w:val="0"/>
                    <w:autoSpaceDN w:val="0"/>
                    <w:adjustRightInd w:val="0"/>
                    <w:snapToGrid w:val="0"/>
                    <w:spacing w:line="240" w:lineRule="auto"/>
                    <w:ind w:firstLine="0" w:firstLineChars="0"/>
                    <w:jc w:val="center"/>
                    <w:rPr>
                      <w:sz w:val="21"/>
                      <w:szCs w:val="21"/>
                    </w:rPr>
                  </w:pPr>
                </w:p>
              </w:tc>
              <w:tc>
                <w:tcPr>
                  <w:tcW w:w="779" w:type="dxa"/>
                  <w:vMerge w:val="continue"/>
                  <w:vAlign w:val="center"/>
                </w:tcPr>
                <w:p w14:paraId="7F23593E">
                  <w:pPr>
                    <w:autoSpaceDE w:val="0"/>
                    <w:autoSpaceDN w:val="0"/>
                    <w:adjustRightInd w:val="0"/>
                    <w:snapToGrid w:val="0"/>
                    <w:spacing w:line="240" w:lineRule="auto"/>
                    <w:ind w:firstLine="0" w:firstLineChars="0"/>
                    <w:jc w:val="center"/>
                    <w:rPr>
                      <w:sz w:val="21"/>
                      <w:szCs w:val="21"/>
                    </w:rPr>
                  </w:pPr>
                </w:p>
              </w:tc>
              <w:tc>
                <w:tcPr>
                  <w:tcW w:w="544" w:type="dxa"/>
                  <w:vMerge w:val="continue"/>
                  <w:vAlign w:val="center"/>
                </w:tcPr>
                <w:p w14:paraId="4E688238">
                  <w:pPr>
                    <w:autoSpaceDE w:val="0"/>
                    <w:autoSpaceDN w:val="0"/>
                    <w:adjustRightInd w:val="0"/>
                    <w:snapToGrid w:val="0"/>
                    <w:spacing w:line="240" w:lineRule="auto"/>
                    <w:ind w:firstLine="0" w:firstLineChars="0"/>
                    <w:jc w:val="center"/>
                    <w:rPr>
                      <w:sz w:val="21"/>
                      <w:szCs w:val="21"/>
                    </w:rPr>
                  </w:pPr>
                </w:p>
              </w:tc>
              <w:tc>
                <w:tcPr>
                  <w:tcW w:w="1364" w:type="dxa"/>
                  <w:vMerge w:val="continue"/>
                  <w:vAlign w:val="center"/>
                </w:tcPr>
                <w:p w14:paraId="7A10C333">
                  <w:pPr>
                    <w:autoSpaceDE w:val="0"/>
                    <w:autoSpaceDN w:val="0"/>
                    <w:adjustRightInd w:val="0"/>
                    <w:snapToGrid w:val="0"/>
                    <w:spacing w:line="240" w:lineRule="auto"/>
                    <w:ind w:firstLine="0" w:firstLineChars="0"/>
                    <w:jc w:val="center"/>
                    <w:rPr>
                      <w:sz w:val="21"/>
                      <w:szCs w:val="21"/>
                    </w:rPr>
                  </w:pPr>
                </w:p>
              </w:tc>
              <w:tc>
                <w:tcPr>
                  <w:tcW w:w="391" w:type="dxa"/>
                  <w:vMerge w:val="continue"/>
                  <w:vAlign w:val="center"/>
                </w:tcPr>
                <w:p w14:paraId="099CD47C">
                  <w:pPr>
                    <w:autoSpaceDE w:val="0"/>
                    <w:autoSpaceDN w:val="0"/>
                    <w:adjustRightInd w:val="0"/>
                    <w:snapToGrid w:val="0"/>
                    <w:spacing w:line="240" w:lineRule="auto"/>
                    <w:ind w:firstLine="0" w:firstLineChars="0"/>
                    <w:jc w:val="center"/>
                    <w:rPr>
                      <w:sz w:val="21"/>
                      <w:szCs w:val="21"/>
                    </w:rPr>
                  </w:pPr>
                </w:p>
              </w:tc>
              <w:tc>
                <w:tcPr>
                  <w:tcW w:w="539" w:type="dxa"/>
                  <w:vMerge w:val="continue"/>
                  <w:vAlign w:val="center"/>
                </w:tcPr>
                <w:p w14:paraId="60E1171F">
                  <w:pPr>
                    <w:autoSpaceDE w:val="0"/>
                    <w:autoSpaceDN w:val="0"/>
                    <w:adjustRightInd w:val="0"/>
                    <w:snapToGrid w:val="0"/>
                    <w:spacing w:line="240" w:lineRule="auto"/>
                    <w:ind w:firstLine="0" w:firstLineChars="0"/>
                    <w:jc w:val="center"/>
                    <w:rPr>
                      <w:sz w:val="21"/>
                      <w:szCs w:val="21"/>
                    </w:rPr>
                  </w:pPr>
                </w:p>
              </w:tc>
              <w:tc>
                <w:tcPr>
                  <w:tcW w:w="640" w:type="dxa"/>
                  <w:vAlign w:val="center"/>
                </w:tcPr>
                <w:p w14:paraId="23498D71">
                  <w:pPr>
                    <w:pStyle w:val="76"/>
                    <w:adjustRightInd w:val="0"/>
                    <w:snapToGrid w:val="0"/>
                    <w:rPr>
                      <w:rFonts w:ascii="Times New Roman" w:hAnsi="Times New Roman" w:cs="Times New Roman"/>
                      <w:sz w:val="21"/>
                      <w:szCs w:val="21"/>
                    </w:rPr>
                  </w:pPr>
                  <w:r>
                    <w:rPr>
                      <w:rFonts w:ascii="Times New Roman" w:hAnsi="Times New Roman" w:cs="Times New Roman"/>
                      <w:position w:val="2"/>
                      <w:sz w:val="21"/>
                      <w:szCs w:val="21"/>
                    </w:rPr>
                    <w:t>BOD</w:t>
                  </w:r>
                  <w:r>
                    <w:rPr>
                      <w:rFonts w:ascii="Times New Roman" w:hAnsi="Times New Roman" w:cs="Times New Roman"/>
                      <w:sz w:val="21"/>
                      <w:szCs w:val="21"/>
                      <w:vertAlign w:val="subscript"/>
                    </w:rPr>
                    <w:t>5</w:t>
                  </w:r>
                </w:p>
              </w:tc>
              <w:tc>
                <w:tcPr>
                  <w:tcW w:w="1231" w:type="dxa"/>
                  <w:vAlign w:val="center"/>
                </w:tcPr>
                <w:p w14:paraId="277FEA69">
                  <w:pPr>
                    <w:pStyle w:val="76"/>
                    <w:adjustRightInd w:val="0"/>
                    <w:snapToGrid w:val="0"/>
                    <w:rPr>
                      <w:rFonts w:ascii="Times New Roman" w:hAnsi="Times New Roman" w:cs="Times New Roman"/>
                      <w:sz w:val="21"/>
                      <w:szCs w:val="21"/>
                    </w:rPr>
                  </w:pPr>
                  <w:r>
                    <w:rPr>
                      <w:rFonts w:ascii="Times New Roman" w:hAnsi="Times New Roman" w:cs="Times New Roman"/>
                      <w:sz w:val="21"/>
                      <w:szCs w:val="21"/>
                    </w:rPr>
                    <w:t>10</w:t>
                  </w:r>
                </w:p>
              </w:tc>
            </w:tr>
            <w:tr w14:paraId="5A09E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252" w:type="dxa"/>
                  <w:vMerge w:val="continue"/>
                  <w:vAlign w:val="center"/>
                </w:tcPr>
                <w:p w14:paraId="5A9E5D76">
                  <w:pPr>
                    <w:autoSpaceDE w:val="0"/>
                    <w:autoSpaceDN w:val="0"/>
                    <w:adjustRightInd w:val="0"/>
                    <w:snapToGrid w:val="0"/>
                    <w:spacing w:line="240" w:lineRule="auto"/>
                    <w:ind w:firstLine="0" w:firstLineChars="0"/>
                    <w:jc w:val="center"/>
                    <w:rPr>
                      <w:sz w:val="21"/>
                      <w:szCs w:val="21"/>
                    </w:rPr>
                  </w:pPr>
                </w:p>
              </w:tc>
              <w:tc>
                <w:tcPr>
                  <w:tcW w:w="737" w:type="dxa"/>
                  <w:vMerge w:val="continue"/>
                  <w:vAlign w:val="center"/>
                </w:tcPr>
                <w:p w14:paraId="35452BC4">
                  <w:pPr>
                    <w:autoSpaceDE w:val="0"/>
                    <w:autoSpaceDN w:val="0"/>
                    <w:adjustRightInd w:val="0"/>
                    <w:snapToGrid w:val="0"/>
                    <w:spacing w:line="240" w:lineRule="auto"/>
                    <w:ind w:firstLine="0" w:firstLineChars="0"/>
                    <w:jc w:val="center"/>
                    <w:rPr>
                      <w:sz w:val="21"/>
                      <w:szCs w:val="21"/>
                    </w:rPr>
                  </w:pPr>
                </w:p>
              </w:tc>
              <w:tc>
                <w:tcPr>
                  <w:tcW w:w="1030" w:type="dxa"/>
                  <w:vMerge w:val="continue"/>
                  <w:vAlign w:val="center"/>
                </w:tcPr>
                <w:p w14:paraId="3B5B56EB">
                  <w:pPr>
                    <w:autoSpaceDE w:val="0"/>
                    <w:autoSpaceDN w:val="0"/>
                    <w:adjustRightInd w:val="0"/>
                    <w:snapToGrid w:val="0"/>
                    <w:spacing w:line="240" w:lineRule="auto"/>
                    <w:ind w:firstLine="0" w:firstLineChars="0"/>
                    <w:jc w:val="center"/>
                    <w:rPr>
                      <w:sz w:val="21"/>
                      <w:szCs w:val="21"/>
                    </w:rPr>
                  </w:pPr>
                </w:p>
              </w:tc>
              <w:tc>
                <w:tcPr>
                  <w:tcW w:w="917" w:type="dxa"/>
                  <w:vMerge w:val="continue"/>
                  <w:vAlign w:val="center"/>
                </w:tcPr>
                <w:p w14:paraId="5F81BF8F">
                  <w:pPr>
                    <w:autoSpaceDE w:val="0"/>
                    <w:autoSpaceDN w:val="0"/>
                    <w:adjustRightInd w:val="0"/>
                    <w:snapToGrid w:val="0"/>
                    <w:spacing w:line="240" w:lineRule="auto"/>
                    <w:ind w:firstLine="0" w:firstLineChars="0"/>
                    <w:jc w:val="center"/>
                    <w:rPr>
                      <w:sz w:val="21"/>
                      <w:szCs w:val="21"/>
                    </w:rPr>
                  </w:pPr>
                </w:p>
              </w:tc>
              <w:tc>
                <w:tcPr>
                  <w:tcW w:w="779" w:type="dxa"/>
                  <w:vMerge w:val="continue"/>
                  <w:vAlign w:val="center"/>
                </w:tcPr>
                <w:p w14:paraId="56833BD8">
                  <w:pPr>
                    <w:autoSpaceDE w:val="0"/>
                    <w:autoSpaceDN w:val="0"/>
                    <w:adjustRightInd w:val="0"/>
                    <w:snapToGrid w:val="0"/>
                    <w:spacing w:line="240" w:lineRule="auto"/>
                    <w:ind w:firstLine="0" w:firstLineChars="0"/>
                    <w:jc w:val="center"/>
                    <w:rPr>
                      <w:sz w:val="21"/>
                      <w:szCs w:val="21"/>
                    </w:rPr>
                  </w:pPr>
                </w:p>
              </w:tc>
              <w:tc>
                <w:tcPr>
                  <w:tcW w:w="544" w:type="dxa"/>
                  <w:vMerge w:val="continue"/>
                  <w:vAlign w:val="center"/>
                </w:tcPr>
                <w:p w14:paraId="38162E7B">
                  <w:pPr>
                    <w:autoSpaceDE w:val="0"/>
                    <w:autoSpaceDN w:val="0"/>
                    <w:adjustRightInd w:val="0"/>
                    <w:snapToGrid w:val="0"/>
                    <w:spacing w:line="240" w:lineRule="auto"/>
                    <w:ind w:firstLine="0" w:firstLineChars="0"/>
                    <w:jc w:val="center"/>
                    <w:rPr>
                      <w:sz w:val="21"/>
                      <w:szCs w:val="21"/>
                    </w:rPr>
                  </w:pPr>
                </w:p>
              </w:tc>
              <w:tc>
                <w:tcPr>
                  <w:tcW w:w="1364" w:type="dxa"/>
                  <w:vMerge w:val="continue"/>
                  <w:vAlign w:val="center"/>
                </w:tcPr>
                <w:p w14:paraId="311A30B6">
                  <w:pPr>
                    <w:autoSpaceDE w:val="0"/>
                    <w:autoSpaceDN w:val="0"/>
                    <w:adjustRightInd w:val="0"/>
                    <w:snapToGrid w:val="0"/>
                    <w:spacing w:line="240" w:lineRule="auto"/>
                    <w:ind w:firstLine="0" w:firstLineChars="0"/>
                    <w:jc w:val="center"/>
                    <w:rPr>
                      <w:sz w:val="21"/>
                      <w:szCs w:val="21"/>
                    </w:rPr>
                  </w:pPr>
                </w:p>
              </w:tc>
              <w:tc>
                <w:tcPr>
                  <w:tcW w:w="391" w:type="dxa"/>
                  <w:vMerge w:val="continue"/>
                  <w:vAlign w:val="center"/>
                </w:tcPr>
                <w:p w14:paraId="11184EA3">
                  <w:pPr>
                    <w:autoSpaceDE w:val="0"/>
                    <w:autoSpaceDN w:val="0"/>
                    <w:adjustRightInd w:val="0"/>
                    <w:snapToGrid w:val="0"/>
                    <w:spacing w:line="240" w:lineRule="auto"/>
                    <w:ind w:firstLine="0" w:firstLineChars="0"/>
                    <w:jc w:val="center"/>
                    <w:rPr>
                      <w:sz w:val="21"/>
                      <w:szCs w:val="21"/>
                    </w:rPr>
                  </w:pPr>
                </w:p>
              </w:tc>
              <w:tc>
                <w:tcPr>
                  <w:tcW w:w="539" w:type="dxa"/>
                  <w:vMerge w:val="continue"/>
                  <w:vAlign w:val="center"/>
                </w:tcPr>
                <w:p w14:paraId="6BC7062C">
                  <w:pPr>
                    <w:autoSpaceDE w:val="0"/>
                    <w:autoSpaceDN w:val="0"/>
                    <w:adjustRightInd w:val="0"/>
                    <w:snapToGrid w:val="0"/>
                    <w:spacing w:line="240" w:lineRule="auto"/>
                    <w:ind w:firstLine="0" w:firstLineChars="0"/>
                    <w:jc w:val="center"/>
                    <w:rPr>
                      <w:sz w:val="21"/>
                      <w:szCs w:val="21"/>
                    </w:rPr>
                  </w:pPr>
                </w:p>
              </w:tc>
              <w:tc>
                <w:tcPr>
                  <w:tcW w:w="640" w:type="dxa"/>
                  <w:vAlign w:val="center"/>
                </w:tcPr>
                <w:p w14:paraId="3F0F6D31">
                  <w:pPr>
                    <w:pStyle w:val="76"/>
                    <w:adjustRightInd w:val="0"/>
                    <w:snapToGrid w:val="0"/>
                    <w:rPr>
                      <w:rFonts w:ascii="Times New Roman" w:hAnsi="Times New Roman" w:cs="Times New Roman"/>
                      <w:sz w:val="21"/>
                      <w:szCs w:val="21"/>
                    </w:rPr>
                  </w:pPr>
                  <w:r>
                    <w:rPr>
                      <w:rFonts w:ascii="Times New Roman" w:hAnsi="Times New Roman" w:cs="Times New Roman"/>
                      <w:position w:val="2"/>
                      <w:sz w:val="21"/>
                      <w:szCs w:val="21"/>
                    </w:rPr>
                    <w:t>NH</w:t>
                  </w:r>
                  <w:r>
                    <w:rPr>
                      <w:rFonts w:ascii="Times New Roman" w:hAnsi="Times New Roman" w:cs="Times New Roman"/>
                      <w:sz w:val="21"/>
                      <w:szCs w:val="21"/>
                      <w:vertAlign w:val="subscript"/>
                    </w:rPr>
                    <w:t>3</w:t>
                  </w:r>
                  <w:r>
                    <w:rPr>
                      <w:rFonts w:ascii="Times New Roman" w:hAnsi="Times New Roman" w:cs="Times New Roman"/>
                      <w:position w:val="2"/>
                      <w:sz w:val="21"/>
                      <w:szCs w:val="21"/>
                    </w:rPr>
                    <w:t>-N</w:t>
                  </w:r>
                </w:p>
              </w:tc>
              <w:tc>
                <w:tcPr>
                  <w:tcW w:w="1231" w:type="dxa"/>
                  <w:vAlign w:val="center"/>
                </w:tcPr>
                <w:p w14:paraId="6CFB1CE1">
                  <w:pPr>
                    <w:pStyle w:val="76"/>
                    <w:adjustRightInd w:val="0"/>
                    <w:snapToGrid w:val="0"/>
                    <w:rPr>
                      <w:rFonts w:ascii="Times New Roman" w:hAnsi="Times New Roman" w:cs="Times New Roman"/>
                      <w:sz w:val="21"/>
                      <w:szCs w:val="21"/>
                    </w:rPr>
                  </w:pPr>
                  <w:r>
                    <w:rPr>
                      <w:rFonts w:ascii="Times New Roman" w:hAnsi="Times New Roman" w:cs="Times New Roman"/>
                      <w:sz w:val="21"/>
                      <w:szCs w:val="21"/>
                      <w:lang w:val="en-US"/>
                    </w:rPr>
                    <w:t>5</w:t>
                  </w:r>
                </w:p>
              </w:tc>
            </w:tr>
          </w:tbl>
          <w:p w14:paraId="23CC73D5">
            <w:pPr>
              <w:adjustRightInd w:val="0"/>
              <w:snapToGrid w:val="0"/>
              <w:spacing w:line="300" w:lineRule="auto"/>
              <w:ind w:firstLine="482"/>
              <w:rPr>
                <w:b/>
                <w:bCs/>
                <w:szCs w:val="32"/>
              </w:rPr>
            </w:pPr>
            <w:r>
              <w:rPr>
                <w:rFonts w:hint="eastAsia"/>
                <w:b/>
                <w:bCs/>
                <w:szCs w:val="32"/>
                <w:lang w:val="en-US" w:eastAsia="zh-CN"/>
              </w:rPr>
              <w:t>2</w:t>
            </w:r>
            <w:r>
              <w:rPr>
                <w:b/>
                <w:bCs/>
                <w:szCs w:val="32"/>
              </w:rPr>
              <w:t>、废水处理及依托</w:t>
            </w:r>
            <w:r>
              <w:rPr>
                <w:rFonts w:hint="eastAsia"/>
                <w:b/>
                <w:bCs/>
                <w:szCs w:val="32"/>
                <w:lang w:val="en-US" w:eastAsia="zh-CN"/>
              </w:rPr>
              <w:t>潮阳区</w:t>
            </w:r>
            <w:r>
              <w:rPr>
                <w:b/>
                <w:bCs/>
                <w:szCs w:val="32"/>
              </w:rPr>
              <w:t>污水处理厂可行性</w:t>
            </w:r>
          </w:p>
          <w:p w14:paraId="20061512">
            <w:pPr>
              <w:adjustRightInd w:val="0"/>
              <w:snapToGrid w:val="0"/>
              <w:spacing w:line="300" w:lineRule="auto"/>
              <w:ind w:firstLine="480"/>
            </w:pPr>
            <w:r>
              <w:t>本项目所在范围属于</w:t>
            </w:r>
            <w:r>
              <w:rPr>
                <w:rFonts w:hint="eastAsia"/>
                <w:lang w:val="en-US" w:eastAsia="zh-CN"/>
              </w:rPr>
              <w:t>潮阳区</w:t>
            </w:r>
            <w:r>
              <w:t>污水处理厂的纳污范围。</w:t>
            </w:r>
            <w:r>
              <w:rPr>
                <w:rFonts w:hint="eastAsia"/>
              </w:rPr>
              <w:t>汕头 市潮阳区污水处理厂一期建设采用 A2/O 微孔曝气处理工艺，工程处理能力为7.5万 m</w:t>
            </w:r>
            <w:r>
              <w:rPr>
                <w:rFonts w:hint="eastAsia"/>
                <w:vertAlign w:val="superscript"/>
              </w:rPr>
              <w:t>3</w:t>
            </w:r>
            <w:r>
              <w:rPr>
                <w:rFonts w:hint="eastAsia"/>
              </w:rPr>
              <w:t>/d ，已于 2009 年 9 月 15 日投产使用，2010 年 1 月 27 日通过环保竣工验收</w:t>
            </w:r>
            <w:r>
              <w:t>。</w:t>
            </w:r>
            <w:r>
              <w:rPr>
                <w:rFonts w:hint="eastAsia"/>
              </w:rPr>
              <w:t>二期扩建规模7.5 万 m</w:t>
            </w:r>
            <w:r>
              <w:rPr>
                <w:rFonts w:hint="eastAsia"/>
                <w:vertAlign w:val="superscript"/>
              </w:rPr>
              <w:t>3</w:t>
            </w:r>
            <w:r>
              <w:rPr>
                <w:rFonts w:hint="eastAsia"/>
              </w:rPr>
              <w:t>/d，扩建后总规模为 15 万m</w:t>
            </w:r>
            <w:r>
              <w:rPr>
                <w:rFonts w:hint="eastAsia"/>
                <w:vertAlign w:val="superscript"/>
              </w:rPr>
              <w:t>3</w:t>
            </w:r>
            <w:r>
              <w:rPr>
                <w:rFonts w:hint="eastAsia"/>
              </w:rPr>
              <w:t>/d。汕头市潮阳区污水处理厂进行升级改造后，废水处理设施采用A2/O生化池为主的处理工艺，对废水中的有机物污染物处理效果显著。</w:t>
            </w:r>
          </w:p>
          <w:p w14:paraId="2FD5A9FE">
            <w:pPr>
              <w:adjustRightInd w:val="0"/>
              <w:snapToGrid w:val="0"/>
              <w:spacing w:line="300" w:lineRule="auto"/>
              <w:ind w:firstLine="480"/>
            </w:pPr>
            <w:r>
              <w:rPr>
                <w:rFonts w:hint="eastAsia"/>
              </w:rPr>
              <w:t>项目建成后，外排污水主要通过三级化粪池预处理后，通过厂内的污水管道排向潮揭公路（省道 234 线）上铺设的截污主干管，然后与潮揭公路（省道234 线）为中心的白竹村及周边片区的外排污水汇总后，介入至潮阳区污水处理厂二期截污管网中，然后流入汕头市潮阳区污水处理厂内进行后续处理。经类比分析，外排污水主要为生活污水，均属于可生化性较好的污水类型，其中，潮阳区污水处理厂主要对生活污水进行处理，而本项目外排的废水主要为生活污水，污水的污染物质较简单，与污水处理厂处理工艺无冲突。</w:t>
            </w:r>
          </w:p>
          <w:p w14:paraId="17162262">
            <w:pPr>
              <w:adjustRightInd w:val="0"/>
              <w:snapToGrid w:val="0"/>
              <w:spacing w:line="300" w:lineRule="auto"/>
              <w:ind w:firstLine="480"/>
            </w:pPr>
            <w:r>
              <w:rPr>
                <w:rFonts w:hint="eastAsia"/>
              </w:rPr>
              <w:t>综上，本项目生活污水经过建设单位预处理后，污染物浓度可达到广东省地方标准《水污染物排放限值》（DB44/26-2001）第二时段三级标准，能够达到潮阳区污水处理厂设计进水标准，不会对污水厂造成冲击负荷，也不会影响其正常运行。项目建成后生活污水排放总量为 0.</w:t>
            </w:r>
            <w:r>
              <w:rPr>
                <w:rFonts w:hint="eastAsia"/>
                <w:lang w:val="en-US" w:eastAsia="zh-CN"/>
              </w:rPr>
              <w:t>288</w:t>
            </w:r>
            <w:r>
              <w:rPr>
                <w:rFonts w:hint="eastAsia"/>
              </w:rPr>
              <w:t>t/d，占污水处理厂处理能力的 0.0000</w:t>
            </w:r>
            <w:r>
              <w:rPr>
                <w:rFonts w:hint="eastAsia"/>
                <w:lang w:val="en-US" w:eastAsia="zh-CN"/>
              </w:rPr>
              <w:t>2</w:t>
            </w:r>
            <w:r>
              <w:rPr>
                <w:rFonts w:hint="eastAsia"/>
              </w:rPr>
              <w:t>%，所占比例相对较小，</w:t>
            </w:r>
            <w:r>
              <w:rPr>
                <w:rFonts w:hint="eastAsia"/>
                <w:lang w:val="en-US" w:eastAsia="zh-CN"/>
              </w:rPr>
              <w:t>目前潮阳区污水处理厂尚有余量，</w:t>
            </w:r>
            <w:r>
              <w:rPr>
                <w:rFonts w:hint="eastAsia"/>
              </w:rPr>
              <w:t>污水厂可容纳本项目产生的污水。因此，本项目生活污水依托潮阳区污水处理厂处理是可行的。</w:t>
            </w:r>
          </w:p>
          <w:p w14:paraId="3D0AC28E">
            <w:pPr>
              <w:adjustRightInd w:val="0"/>
              <w:snapToGrid w:val="0"/>
              <w:spacing w:line="300" w:lineRule="auto"/>
              <w:ind w:firstLine="482"/>
              <w:rPr>
                <w:b/>
                <w:bCs/>
                <w:szCs w:val="32"/>
              </w:rPr>
            </w:pPr>
            <w:r>
              <w:rPr>
                <w:rFonts w:hint="eastAsia"/>
                <w:b/>
                <w:bCs/>
                <w:szCs w:val="32"/>
                <w:lang w:val="en-US" w:eastAsia="zh-CN"/>
              </w:rPr>
              <w:t>3</w:t>
            </w:r>
            <w:r>
              <w:rPr>
                <w:b/>
                <w:bCs/>
                <w:szCs w:val="32"/>
              </w:rPr>
              <w:t>、废水监测计划</w:t>
            </w:r>
          </w:p>
          <w:p w14:paraId="2D5551F4">
            <w:pPr>
              <w:adjustRightInd w:val="0"/>
              <w:snapToGrid w:val="0"/>
              <w:spacing w:line="300" w:lineRule="auto"/>
              <w:ind w:firstLine="480"/>
              <w:rPr>
                <w:b/>
                <w:bCs/>
                <w:szCs w:val="21"/>
              </w:rPr>
            </w:pPr>
            <w:r>
              <w:rPr>
                <w:rFonts w:hint="eastAsia"/>
              </w:rPr>
              <w:t>参照《排污单位自行监测技术指南 总则》（HJ 819-2017）表1、《排污许可证申请与核发技术规范 专用化学产品制造工业》（HJ 1103-2020）表 21 中的相关要求，本项目运营期生活污水排放口无需开展自行监测。</w:t>
            </w:r>
          </w:p>
          <w:p w14:paraId="36EF437F">
            <w:pPr>
              <w:adjustRightInd w:val="0"/>
              <w:snapToGrid w:val="0"/>
              <w:spacing w:line="300" w:lineRule="auto"/>
              <w:ind w:firstLine="482"/>
              <w:rPr>
                <w:b/>
                <w:bCs/>
                <w:szCs w:val="32"/>
              </w:rPr>
            </w:pPr>
            <w:r>
              <w:rPr>
                <w:b/>
                <w:bCs/>
                <w:szCs w:val="32"/>
              </w:rPr>
              <w:t>三、噪声</w:t>
            </w:r>
          </w:p>
          <w:p w14:paraId="63EFE2CF">
            <w:pPr>
              <w:adjustRightInd w:val="0"/>
              <w:snapToGrid w:val="0"/>
              <w:spacing w:line="300" w:lineRule="auto"/>
              <w:ind w:firstLine="482"/>
              <w:rPr>
                <w:b/>
                <w:bCs/>
                <w:szCs w:val="32"/>
              </w:rPr>
            </w:pPr>
            <w:r>
              <w:rPr>
                <w:b/>
                <w:bCs/>
                <w:szCs w:val="32"/>
              </w:rPr>
              <w:t>1、噪声源强</w:t>
            </w:r>
          </w:p>
          <w:p w14:paraId="5ACFF6EE">
            <w:pPr>
              <w:adjustRightInd w:val="0"/>
              <w:snapToGrid w:val="0"/>
              <w:spacing w:line="300" w:lineRule="auto"/>
              <w:ind w:firstLine="480"/>
            </w:pPr>
            <w:r>
              <w:t>本项目噪声源噪声级值见表4-</w:t>
            </w:r>
            <w:r>
              <w:rPr>
                <w:rFonts w:hint="eastAsia"/>
                <w:lang w:val="en-US" w:eastAsia="zh-CN"/>
              </w:rPr>
              <w:t>11</w:t>
            </w:r>
            <w:r>
              <w:t>。</w:t>
            </w:r>
          </w:p>
          <w:p w14:paraId="4FF2109A">
            <w:pPr>
              <w:adjustRightInd w:val="0"/>
              <w:snapToGrid w:val="0"/>
              <w:spacing w:line="300" w:lineRule="auto"/>
              <w:ind w:firstLine="422"/>
              <w:jc w:val="center"/>
              <w:rPr>
                <w:b/>
                <w:bCs/>
              </w:rPr>
            </w:pPr>
            <w:r>
              <w:rPr>
                <w:b/>
                <w:bCs/>
                <w:sz w:val="21"/>
                <w:szCs w:val="21"/>
              </w:rPr>
              <w:t>表4-</w:t>
            </w:r>
            <w:r>
              <w:rPr>
                <w:rFonts w:hint="eastAsia"/>
                <w:b/>
                <w:bCs/>
                <w:sz w:val="21"/>
                <w:szCs w:val="21"/>
                <w:lang w:val="en-US" w:eastAsia="zh-CN"/>
              </w:rPr>
              <w:t>11</w:t>
            </w:r>
            <w:r>
              <w:rPr>
                <w:b/>
                <w:bCs/>
                <w:sz w:val="21"/>
                <w:szCs w:val="21"/>
              </w:rPr>
              <w:t xml:space="preserve"> 项目噪声源噪声级值</w:t>
            </w:r>
          </w:p>
          <w:tbl>
            <w:tblPr>
              <w:tblStyle w:val="31"/>
              <w:tblW w:w="813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904"/>
              <w:gridCol w:w="904"/>
              <w:gridCol w:w="904"/>
              <w:gridCol w:w="904"/>
              <w:gridCol w:w="904"/>
              <w:gridCol w:w="904"/>
              <w:gridCol w:w="904"/>
              <w:gridCol w:w="904"/>
            </w:tblGrid>
            <w:tr w14:paraId="6AFF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9A5A">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序号</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146E">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设备类型</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5838">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型号规格</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9AA4">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单位</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EBDE">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数量</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65AEC">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声功率级/dB（A）</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CAA6">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声源控制措施</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2A2C">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运行时段</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9073">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等效声级</w:t>
                  </w:r>
                </w:p>
              </w:tc>
            </w:tr>
            <w:tr w14:paraId="39EA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0839">
                  <w:pPr>
                    <w:pStyle w:val="76"/>
                    <w:adjustRightInd w:val="0"/>
                    <w:snapToGrid w:val="0"/>
                    <w:rPr>
                      <w:rFonts w:hint="eastAsia"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49DA">
                  <w:pPr>
                    <w:pStyle w:val="76"/>
                    <w:adjustRightInd w:val="0"/>
                    <w:snapToGrid w:val="0"/>
                    <w:rPr>
                      <w:rFonts w:hint="eastAsia"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01E8">
                  <w:pPr>
                    <w:pStyle w:val="76"/>
                    <w:adjustRightInd w:val="0"/>
                    <w:snapToGrid w:val="0"/>
                    <w:rPr>
                      <w:rFonts w:hint="eastAsia"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2A36">
                  <w:pPr>
                    <w:pStyle w:val="76"/>
                    <w:adjustRightInd w:val="0"/>
                    <w:snapToGrid w:val="0"/>
                    <w:rPr>
                      <w:rFonts w:hint="eastAsia"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2B55">
                  <w:pPr>
                    <w:pStyle w:val="76"/>
                    <w:adjustRightInd w:val="0"/>
                    <w:snapToGrid w:val="0"/>
                    <w:rPr>
                      <w:rFonts w:hint="eastAsia"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DD48">
                  <w:pPr>
                    <w:pStyle w:val="76"/>
                    <w:adjustRightInd w:val="0"/>
                    <w:snapToGrid w:val="0"/>
                    <w:rPr>
                      <w:rFonts w:hint="eastAsia"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14CF">
                  <w:pPr>
                    <w:pStyle w:val="76"/>
                    <w:adjustRightInd w:val="0"/>
                    <w:snapToGrid w:val="0"/>
                    <w:rPr>
                      <w:rFonts w:hint="eastAsia"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C8E6">
                  <w:pPr>
                    <w:pStyle w:val="76"/>
                    <w:adjustRightInd w:val="0"/>
                    <w:snapToGrid w:val="0"/>
                    <w:rPr>
                      <w:rFonts w:hint="eastAsia"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2B34">
                  <w:pPr>
                    <w:pStyle w:val="76"/>
                    <w:adjustRightInd w:val="0"/>
                    <w:snapToGrid w:val="0"/>
                    <w:rPr>
                      <w:rFonts w:hint="eastAsia" w:ascii="Times New Roman" w:hAnsi="Times New Roman" w:cs="Times New Roman"/>
                      <w:sz w:val="21"/>
                      <w:szCs w:val="21"/>
                      <w:lang w:eastAsia="en-US"/>
                    </w:rPr>
                  </w:pPr>
                </w:p>
              </w:tc>
            </w:tr>
            <w:tr w14:paraId="563D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B223">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1</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BB95">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搅拌罐</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B3C0">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1吨</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D484">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3C91">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4</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62B0">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80</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95D87">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低噪声设备、减振、建筑物隔声等</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54AFC">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频发</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3170">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80</w:t>
                  </w:r>
                </w:p>
              </w:tc>
            </w:tr>
            <w:tr w14:paraId="6082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7097">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2</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4AFB">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5CF1">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2吨</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31B7">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BD06">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2</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75652">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B385">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B2D6">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频发</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125E3">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r>
            <w:tr w14:paraId="3BEA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AF20">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3</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4F1A">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2178">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3吨</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4CCA">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2A11">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2</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57D2">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960F7">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3792">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频发</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392E">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r>
            <w:tr w14:paraId="184B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F4DB">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4</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F29C">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B7D1">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5吨</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4E45">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81BA">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2</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53424">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7EAD">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D991">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频发</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DD12">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r>
            <w:tr w14:paraId="51AC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626F">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5</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9AC9">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84F7">
                  <w:pPr>
                    <w:pStyle w:val="76"/>
                    <w:adjustRightInd w:val="0"/>
                    <w:snapToGrid w:val="0"/>
                    <w:rPr>
                      <w:rFonts w:hint="eastAsia" w:ascii="Times New Roman" w:hAnsi="Times New Roman" w:cs="Times New Roman"/>
                      <w:sz w:val="21"/>
                      <w:szCs w:val="21"/>
                      <w:lang w:eastAsia="en-US"/>
                    </w:rPr>
                  </w:pPr>
                  <w:r>
                    <w:rPr>
                      <w:rFonts w:hint="default" w:ascii="Times New Roman" w:hAnsi="Times New Roman" w:cs="Times New Roman"/>
                      <w:sz w:val="21"/>
                      <w:szCs w:val="21"/>
                      <w:lang w:val="en-US" w:eastAsia="zh-CN"/>
                    </w:rPr>
                    <w:t>10</w:t>
                  </w:r>
                  <w:r>
                    <w:rPr>
                      <w:rFonts w:hint="eastAsia" w:ascii="Times New Roman" w:hAnsi="Times New Roman" w:cs="Times New Roman"/>
                      <w:sz w:val="21"/>
                      <w:szCs w:val="21"/>
                      <w:lang w:val="en-US" w:eastAsia="zh-CN"/>
                    </w:rPr>
                    <w:t>吨</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71AC">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2352">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4</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764DB">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EB249">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1A75A">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频发</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E1E4A">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r>
            <w:tr w14:paraId="594E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9AF0">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6</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9983">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抽真空罐</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0C04">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BC95D">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E320">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1</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C022E">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F22E4">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A7EC6">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偶发</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DCD63">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70</w:t>
                  </w:r>
                </w:p>
              </w:tc>
            </w:tr>
            <w:tr w14:paraId="51F8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10F0">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9BB3">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空压机</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2023">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6381C">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311A">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1</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6C6D1">
                  <w:pPr>
                    <w:pStyle w:val="76"/>
                    <w:adjustRightInd w:val="0"/>
                    <w:snapToGrid w:val="0"/>
                    <w:rPr>
                      <w:rFonts w:hint="default"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AC77">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2DA7">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偶发</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626FB">
                  <w:pPr>
                    <w:pStyle w:val="76"/>
                    <w:adjustRightInd w:val="0"/>
                    <w:snapToGrid w:val="0"/>
                    <w:rPr>
                      <w:rFonts w:hint="default" w:ascii="Times New Roman" w:hAnsi="Times New Roman" w:cs="Times New Roman"/>
                      <w:sz w:val="21"/>
                      <w:szCs w:val="21"/>
                      <w:lang w:eastAsia="en-US"/>
                    </w:rPr>
                  </w:pPr>
                </w:p>
              </w:tc>
            </w:tr>
            <w:tr w14:paraId="2134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C77B">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8</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419D">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粉状混合机</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5036">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F1</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F9FA4">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9992">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1</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5BB78">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60</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E30D5">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4E7A">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频发</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0CC69">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60</w:t>
                  </w:r>
                </w:p>
              </w:tc>
            </w:tr>
            <w:tr w14:paraId="5CF62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8CB5">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9</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F190">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抽料泵</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39B0">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7.5KW</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C97D">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58D3">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5台</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C1574">
                  <w:pPr>
                    <w:pStyle w:val="76"/>
                    <w:adjustRightInd w:val="0"/>
                    <w:snapToGrid w:val="0"/>
                    <w:rPr>
                      <w:rFonts w:hint="default" w:ascii="Times New Roman" w:hAnsi="Times New Roman" w:cs="Times New Roman"/>
                      <w:sz w:val="21"/>
                      <w:szCs w:val="21"/>
                      <w:lang w:eastAsia="en-US"/>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6AF22">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38F0">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偶发</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607C5">
                  <w:pPr>
                    <w:pStyle w:val="76"/>
                    <w:adjustRightInd w:val="0"/>
                    <w:snapToGrid w:val="0"/>
                    <w:rPr>
                      <w:rFonts w:hint="default" w:ascii="Times New Roman" w:hAnsi="Times New Roman" w:cs="Times New Roman"/>
                      <w:sz w:val="21"/>
                      <w:szCs w:val="21"/>
                      <w:lang w:eastAsia="en-US"/>
                    </w:rPr>
                  </w:pPr>
                </w:p>
              </w:tc>
            </w:tr>
            <w:tr w14:paraId="4D00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098B">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10</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F178">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纯水机</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AEF8">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5立方</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2849">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BBA9">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1</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C523">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60</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BA4B0">
                  <w:pPr>
                    <w:pStyle w:val="76"/>
                    <w:adjustRightInd w:val="0"/>
                    <w:snapToGrid w:val="0"/>
                    <w:rPr>
                      <w:rFonts w:hint="eastAsia" w:ascii="Times New Roman" w:hAnsi="Times New Roman" w:cs="Times New Roman"/>
                      <w:sz w:val="21"/>
                      <w:szCs w:val="21"/>
                      <w:lang w:eastAsia="en-US"/>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FBEF8">
                  <w:pPr>
                    <w:pStyle w:val="76"/>
                    <w:adjustRightInd w:val="0"/>
                    <w:snapToGrid w:val="0"/>
                    <w:rPr>
                      <w:rFonts w:hint="eastAsia" w:ascii="Times New Roman" w:hAnsi="Times New Roman" w:cs="Times New Roman"/>
                      <w:sz w:val="21"/>
                      <w:szCs w:val="21"/>
                      <w:lang w:eastAsia="en-US"/>
                    </w:rPr>
                  </w:pPr>
                  <w:r>
                    <w:rPr>
                      <w:rFonts w:hint="eastAsia" w:ascii="Times New Roman" w:hAnsi="Times New Roman" w:cs="Times New Roman"/>
                      <w:sz w:val="21"/>
                      <w:szCs w:val="21"/>
                      <w:lang w:val="en-US" w:eastAsia="zh-CN"/>
                    </w:rPr>
                    <w:t>频发</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795EE">
                  <w:pPr>
                    <w:pStyle w:val="76"/>
                    <w:adjustRightInd w:val="0"/>
                    <w:snapToGrid w:val="0"/>
                    <w:rPr>
                      <w:rFonts w:hint="default" w:ascii="Times New Roman" w:hAnsi="Times New Roman" w:cs="Times New Roman"/>
                      <w:sz w:val="21"/>
                      <w:szCs w:val="21"/>
                      <w:lang w:eastAsia="en-US"/>
                    </w:rPr>
                  </w:pPr>
                  <w:r>
                    <w:rPr>
                      <w:rFonts w:hint="default" w:ascii="Times New Roman" w:hAnsi="Times New Roman" w:cs="Times New Roman"/>
                      <w:sz w:val="21"/>
                      <w:szCs w:val="21"/>
                      <w:lang w:val="en-US" w:eastAsia="zh-CN"/>
                    </w:rPr>
                    <w:t>60</w:t>
                  </w:r>
                </w:p>
              </w:tc>
            </w:tr>
          </w:tbl>
          <w:p w14:paraId="184DE4C2">
            <w:pPr>
              <w:adjustRightInd w:val="0"/>
              <w:snapToGrid w:val="0"/>
              <w:spacing w:line="300" w:lineRule="auto"/>
              <w:ind w:firstLine="482"/>
              <w:rPr>
                <w:b/>
                <w:bCs/>
                <w:szCs w:val="32"/>
              </w:rPr>
            </w:pPr>
            <w:r>
              <w:rPr>
                <w:b/>
                <w:bCs/>
                <w:szCs w:val="32"/>
              </w:rPr>
              <w:t>2、采取的噪声污染控制措施</w:t>
            </w:r>
          </w:p>
          <w:p w14:paraId="540778AB">
            <w:pPr>
              <w:adjustRightInd w:val="0"/>
              <w:snapToGrid w:val="0"/>
              <w:spacing w:line="300" w:lineRule="auto"/>
              <w:ind w:firstLine="482"/>
              <w:rPr>
                <w:b/>
                <w:bCs/>
                <w:color w:val="FF0000"/>
                <w:szCs w:val="32"/>
              </w:rPr>
            </w:pPr>
            <w:r>
              <w:rPr>
                <w:b/>
                <w:bCs/>
                <w:szCs w:val="32"/>
              </w:rPr>
              <w:t>（1）源头控制措施</w:t>
            </w:r>
          </w:p>
          <w:p w14:paraId="13FDE1AF">
            <w:pPr>
              <w:autoSpaceDE w:val="0"/>
              <w:autoSpaceDN w:val="0"/>
              <w:adjustRightInd w:val="0"/>
              <w:spacing w:line="300" w:lineRule="auto"/>
              <w:ind w:firstLine="480"/>
              <w:contextualSpacing/>
              <w:rPr>
                <w:bCs/>
                <w:szCs w:val="32"/>
              </w:rPr>
            </w:pPr>
            <w:r>
              <w:rPr>
                <w:bCs/>
                <w:szCs w:val="32"/>
              </w:rPr>
              <w:t>为进一步减少噪声对周围环境的影响，项目拟采取以下具体的降噪措施：</w:t>
            </w:r>
          </w:p>
          <w:p w14:paraId="262E993B">
            <w:pPr>
              <w:autoSpaceDE w:val="0"/>
              <w:autoSpaceDN w:val="0"/>
              <w:adjustRightInd w:val="0"/>
              <w:spacing w:line="300" w:lineRule="auto"/>
              <w:ind w:firstLine="480"/>
              <w:contextualSpacing/>
              <w:rPr>
                <w:bCs/>
                <w:szCs w:val="32"/>
              </w:rPr>
            </w:pPr>
            <w:r>
              <w:rPr>
                <w:bCs/>
                <w:szCs w:val="32"/>
              </w:rPr>
              <w:t>①做好防治措施。在设备选型方面，在满足工艺生产的前提下，选用精度高、装配质量好、噪声低的设备。重视厂房的使用状况，如有需要，使用隔声材料进行降噪，可进一步削减噪声强度。</w:t>
            </w:r>
          </w:p>
          <w:p w14:paraId="260BC96B">
            <w:pPr>
              <w:autoSpaceDE w:val="0"/>
              <w:autoSpaceDN w:val="0"/>
              <w:adjustRightInd w:val="0"/>
              <w:spacing w:line="300" w:lineRule="auto"/>
              <w:ind w:firstLine="480"/>
              <w:contextualSpacing/>
              <w:rPr>
                <w:bCs/>
                <w:szCs w:val="32"/>
              </w:rPr>
            </w:pPr>
            <w:r>
              <w:rPr>
                <w:bCs/>
                <w:szCs w:val="32"/>
              </w:rPr>
              <w:t>②加强管理建立设备定期维护、保养的管理制度，以防止设备故障形成的非生产噪声，同时确保环保措施发挥最有效的功能；加强职工环保意识教育，提倡文明生产，防止人为噪声。</w:t>
            </w:r>
          </w:p>
          <w:p w14:paraId="085676B0">
            <w:pPr>
              <w:autoSpaceDE w:val="0"/>
              <w:autoSpaceDN w:val="0"/>
              <w:adjustRightInd w:val="0"/>
              <w:spacing w:line="300" w:lineRule="auto"/>
              <w:ind w:firstLine="480"/>
              <w:contextualSpacing/>
              <w:rPr>
                <w:bCs/>
                <w:snapToGrid w:val="0"/>
                <w:szCs w:val="32"/>
              </w:rPr>
            </w:pPr>
            <w:r>
              <w:rPr>
                <w:bCs/>
                <w:szCs w:val="32"/>
              </w:rPr>
              <w:t>③</w:t>
            </w:r>
            <w:r>
              <w:rPr>
                <w:bCs/>
                <w:snapToGrid w:val="0"/>
                <w:szCs w:val="32"/>
              </w:rPr>
              <w:t>合理规划布置，高噪声设备布置应远离项目附近的声环境保护目标</w:t>
            </w:r>
            <w:r>
              <w:rPr>
                <w:bCs/>
                <w:szCs w:val="32"/>
              </w:rPr>
              <w:t>，</w:t>
            </w:r>
            <w:r>
              <w:rPr>
                <w:bCs/>
                <w:snapToGrid w:val="0"/>
                <w:szCs w:val="32"/>
              </w:rPr>
              <w:t>避免或减少噪声对周边声环境保护目标的影响。</w:t>
            </w:r>
          </w:p>
          <w:p w14:paraId="26C2A02A">
            <w:pPr>
              <w:pStyle w:val="96"/>
              <w:ind w:firstLine="480"/>
              <w:rPr>
                <w:b w:val="0"/>
                <w:bCs/>
                <w:snapToGrid w:val="0"/>
                <w:color w:val="auto"/>
                <w:szCs w:val="32"/>
              </w:rPr>
            </w:pPr>
            <w:r>
              <w:rPr>
                <w:b w:val="0"/>
                <w:bCs/>
                <w:snapToGrid w:val="0"/>
                <w:color w:val="auto"/>
                <w:szCs w:val="32"/>
              </w:rPr>
              <w:t>④</w:t>
            </w:r>
            <w:r>
              <w:rPr>
                <w:rFonts w:hint="eastAsia"/>
                <w:b w:val="0"/>
                <w:bCs/>
                <w:snapToGrid w:val="0"/>
                <w:color w:val="auto"/>
                <w:szCs w:val="32"/>
                <w:lang w:val="en-US" w:eastAsia="zh-CN"/>
              </w:rPr>
              <w:t>工作时间</w:t>
            </w:r>
            <w:r>
              <w:rPr>
                <w:b w:val="0"/>
                <w:bCs/>
                <w:snapToGrid w:val="0"/>
                <w:color w:val="auto"/>
                <w:szCs w:val="32"/>
              </w:rPr>
              <w:t>应做好门窗关闭等隔声措施。</w:t>
            </w:r>
          </w:p>
          <w:p w14:paraId="0E626086">
            <w:pPr>
              <w:adjustRightInd w:val="0"/>
              <w:snapToGrid w:val="0"/>
              <w:spacing w:line="300" w:lineRule="auto"/>
              <w:ind w:firstLine="482"/>
              <w:rPr>
                <w:b/>
                <w:bCs/>
                <w:szCs w:val="32"/>
              </w:rPr>
            </w:pPr>
            <w:r>
              <w:rPr>
                <w:b/>
                <w:bCs/>
                <w:szCs w:val="32"/>
              </w:rPr>
              <w:t>3、噪声环境影响及达标分析</w:t>
            </w:r>
          </w:p>
          <w:p w14:paraId="38A60D41">
            <w:pPr>
              <w:ind w:firstLine="480" w:firstLineChars="0"/>
              <w:jc w:val="left"/>
              <w:rPr>
                <w:b/>
                <w:bCs/>
                <w:szCs w:val="32"/>
              </w:rPr>
            </w:pPr>
            <w:r>
              <w:rPr>
                <w:szCs w:val="32"/>
              </w:rPr>
              <w:t>项目50m噪声评价范围内无声环境保护目标，正常情况下，项目噪声对周围环境影响较小。</w:t>
            </w:r>
          </w:p>
          <w:p w14:paraId="60E47BCB">
            <w:pPr>
              <w:adjustRightInd w:val="0"/>
              <w:snapToGrid w:val="0"/>
              <w:spacing w:line="300" w:lineRule="auto"/>
              <w:ind w:firstLine="482"/>
              <w:rPr>
                <w:b/>
                <w:bCs/>
                <w:szCs w:val="32"/>
              </w:rPr>
            </w:pPr>
            <w:r>
              <w:rPr>
                <w:b/>
                <w:bCs/>
                <w:szCs w:val="32"/>
              </w:rPr>
              <w:t>4、监测计划</w:t>
            </w:r>
          </w:p>
          <w:p w14:paraId="4BD37E33">
            <w:pPr>
              <w:widowControl/>
              <w:adjustRightInd w:val="0"/>
              <w:snapToGrid w:val="0"/>
              <w:ind w:firstLine="480"/>
              <w:rPr>
                <w:kern w:val="0"/>
                <w:szCs w:val="20"/>
              </w:rPr>
            </w:pPr>
            <w:r>
              <w:rPr>
                <w:kern w:val="0"/>
                <w:szCs w:val="20"/>
              </w:rPr>
              <w:t>根据《排污单位自行监测技术指南总则》(HJ819-2017）的要求，并结合项目运营期间污染物排放特点，制定本项目的噪声污染源监测计划，建设单位需保证按监测计划实施。监测分析方法按照现行国家、部颁标准和有关规定执行。</w:t>
            </w:r>
          </w:p>
          <w:p w14:paraId="229D1148">
            <w:pPr>
              <w:spacing w:line="240" w:lineRule="auto"/>
              <w:ind w:firstLine="0" w:firstLineChars="0"/>
              <w:jc w:val="center"/>
              <w:rPr>
                <w:b/>
                <w:bCs/>
                <w:szCs w:val="21"/>
              </w:rPr>
            </w:pPr>
            <w:r>
              <w:rPr>
                <w:b/>
                <w:bCs/>
                <w:szCs w:val="21"/>
              </w:rPr>
              <w:t>表4-1</w:t>
            </w:r>
            <w:r>
              <w:rPr>
                <w:rFonts w:hint="eastAsia"/>
                <w:b/>
                <w:bCs/>
                <w:szCs w:val="21"/>
                <w:lang w:val="en-US" w:eastAsia="zh-CN"/>
              </w:rPr>
              <w:t>2</w:t>
            </w:r>
            <w:r>
              <w:rPr>
                <w:b/>
                <w:bCs/>
                <w:szCs w:val="21"/>
              </w:rPr>
              <w:t xml:space="preserve"> 噪声监测计划方案</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167"/>
              <w:gridCol w:w="1351"/>
              <w:gridCol w:w="2025"/>
              <w:gridCol w:w="1685"/>
            </w:tblGrid>
            <w:tr w14:paraId="4D6E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Align w:val="center"/>
                </w:tcPr>
                <w:p w14:paraId="0EBC489C">
                  <w:pPr>
                    <w:pStyle w:val="85"/>
                    <w:spacing w:line="240" w:lineRule="auto"/>
                    <w:ind w:firstLine="0"/>
                    <w:jc w:val="center"/>
                    <w:rPr>
                      <w:rFonts w:cs="Times New Roman"/>
                      <w:b/>
                      <w:sz w:val="21"/>
                      <w:szCs w:val="21"/>
                      <w:highlight w:val="none"/>
                    </w:rPr>
                  </w:pPr>
                  <w:r>
                    <w:rPr>
                      <w:rFonts w:cs="Times New Roman"/>
                      <w:b/>
                      <w:sz w:val="21"/>
                      <w:szCs w:val="21"/>
                      <w:highlight w:val="none"/>
                    </w:rPr>
                    <w:t>监测点位</w:t>
                  </w:r>
                </w:p>
              </w:tc>
              <w:tc>
                <w:tcPr>
                  <w:tcW w:w="1286" w:type="pct"/>
                  <w:vAlign w:val="center"/>
                </w:tcPr>
                <w:p w14:paraId="7C8B199E">
                  <w:pPr>
                    <w:pStyle w:val="85"/>
                    <w:spacing w:line="240" w:lineRule="auto"/>
                    <w:ind w:firstLine="0"/>
                    <w:jc w:val="center"/>
                    <w:rPr>
                      <w:rFonts w:cs="Times New Roman"/>
                      <w:b/>
                      <w:sz w:val="21"/>
                      <w:szCs w:val="21"/>
                      <w:highlight w:val="none"/>
                    </w:rPr>
                  </w:pPr>
                  <w:r>
                    <w:rPr>
                      <w:rFonts w:cs="Times New Roman"/>
                      <w:b/>
                      <w:sz w:val="21"/>
                      <w:szCs w:val="21"/>
                      <w:highlight w:val="none"/>
                    </w:rPr>
                    <w:t>监测项目</w:t>
                  </w:r>
                </w:p>
              </w:tc>
              <w:tc>
                <w:tcPr>
                  <w:tcW w:w="802" w:type="pct"/>
                  <w:vAlign w:val="center"/>
                </w:tcPr>
                <w:p w14:paraId="55E399AF">
                  <w:pPr>
                    <w:pStyle w:val="85"/>
                    <w:spacing w:line="240" w:lineRule="auto"/>
                    <w:ind w:firstLine="0"/>
                    <w:jc w:val="center"/>
                    <w:rPr>
                      <w:rFonts w:cs="Times New Roman"/>
                      <w:b/>
                      <w:sz w:val="21"/>
                      <w:szCs w:val="21"/>
                      <w:highlight w:val="none"/>
                    </w:rPr>
                  </w:pPr>
                  <w:r>
                    <w:rPr>
                      <w:rFonts w:cs="Times New Roman"/>
                      <w:b/>
                      <w:sz w:val="21"/>
                      <w:szCs w:val="21"/>
                      <w:highlight w:val="none"/>
                    </w:rPr>
                    <w:t>监测频次</w:t>
                  </w:r>
                </w:p>
              </w:tc>
              <w:tc>
                <w:tcPr>
                  <w:tcW w:w="1202" w:type="pct"/>
                  <w:vAlign w:val="center"/>
                </w:tcPr>
                <w:p w14:paraId="60AAE405">
                  <w:pPr>
                    <w:pStyle w:val="85"/>
                    <w:spacing w:line="240" w:lineRule="auto"/>
                    <w:ind w:firstLine="0"/>
                    <w:jc w:val="center"/>
                    <w:rPr>
                      <w:rFonts w:cs="Times New Roman"/>
                      <w:b/>
                      <w:sz w:val="21"/>
                      <w:szCs w:val="21"/>
                      <w:highlight w:val="none"/>
                    </w:rPr>
                  </w:pPr>
                  <w:r>
                    <w:rPr>
                      <w:rFonts w:cs="Times New Roman"/>
                      <w:b/>
                      <w:sz w:val="21"/>
                      <w:szCs w:val="21"/>
                      <w:highlight w:val="none"/>
                    </w:rPr>
                    <w:t>执行标准</w:t>
                  </w:r>
                </w:p>
              </w:tc>
              <w:tc>
                <w:tcPr>
                  <w:tcW w:w="1000" w:type="pct"/>
                  <w:vAlign w:val="center"/>
                </w:tcPr>
                <w:p w14:paraId="4DF1858F">
                  <w:pPr>
                    <w:pStyle w:val="85"/>
                    <w:spacing w:line="240" w:lineRule="auto"/>
                    <w:ind w:firstLine="0"/>
                    <w:jc w:val="center"/>
                    <w:rPr>
                      <w:rFonts w:cs="Times New Roman"/>
                      <w:b/>
                      <w:sz w:val="21"/>
                      <w:szCs w:val="21"/>
                      <w:highlight w:val="none"/>
                    </w:rPr>
                  </w:pPr>
                  <w:r>
                    <w:rPr>
                      <w:rFonts w:cs="Times New Roman"/>
                      <w:b/>
                      <w:sz w:val="21"/>
                      <w:szCs w:val="21"/>
                      <w:highlight w:val="none"/>
                    </w:rPr>
                    <w:t>标准限值</w:t>
                  </w:r>
                </w:p>
              </w:tc>
            </w:tr>
            <w:tr w14:paraId="057D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Align w:val="center"/>
                </w:tcPr>
                <w:p w14:paraId="4F8D7DED">
                  <w:pPr>
                    <w:pStyle w:val="85"/>
                    <w:spacing w:line="240" w:lineRule="auto"/>
                    <w:ind w:firstLine="0"/>
                    <w:jc w:val="center"/>
                    <w:rPr>
                      <w:rFonts w:hint="default" w:eastAsia="宋体" w:cs="Times New Roman"/>
                      <w:sz w:val="21"/>
                      <w:szCs w:val="21"/>
                      <w:highlight w:val="none"/>
                      <w:lang w:val="en-US" w:eastAsia="zh-CN"/>
                    </w:rPr>
                  </w:pPr>
                  <w:r>
                    <w:rPr>
                      <w:rFonts w:cs="Times New Roman"/>
                      <w:sz w:val="21"/>
                      <w:szCs w:val="21"/>
                      <w:highlight w:val="none"/>
                    </w:rPr>
                    <w:t>项目厂界</w:t>
                  </w:r>
                  <w:r>
                    <w:rPr>
                      <w:rFonts w:hint="eastAsia" w:cs="Times New Roman"/>
                      <w:sz w:val="21"/>
                      <w:szCs w:val="21"/>
                      <w:highlight w:val="none"/>
                      <w:lang w:val="en-US" w:eastAsia="zh-CN"/>
                    </w:rPr>
                    <w:t>东南、西南、西、北侧外1m处</w:t>
                  </w:r>
                </w:p>
              </w:tc>
              <w:tc>
                <w:tcPr>
                  <w:tcW w:w="1286" w:type="pct"/>
                  <w:vAlign w:val="center"/>
                </w:tcPr>
                <w:p w14:paraId="2A038D03">
                  <w:pPr>
                    <w:pStyle w:val="85"/>
                    <w:spacing w:line="240" w:lineRule="auto"/>
                    <w:ind w:firstLine="0"/>
                    <w:jc w:val="center"/>
                    <w:rPr>
                      <w:rFonts w:cs="Times New Roman"/>
                      <w:sz w:val="21"/>
                      <w:szCs w:val="21"/>
                      <w:highlight w:val="none"/>
                    </w:rPr>
                  </w:pPr>
                  <w:r>
                    <w:rPr>
                      <w:rFonts w:cs="Times New Roman"/>
                      <w:sz w:val="21"/>
                      <w:szCs w:val="21"/>
                      <w:highlight w:val="none"/>
                    </w:rPr>
                    <w:t>等效连续A声级</w:t>
                  </w:r>
                </w:p>
              </w:tc>
              <w:tc>
                <w:tcPr>
                  <w:tcW w:w="802" w:type="pct"/>
                  <w:vAlign w:val="center"/>
                </w:tcPr>
                <w:p w14:paraId="2308B25B">
                  <w:pPr>
                    <w:pStyle w:val="85"/>
                    <w:spacing w:line="240" w:lineRule="auto"/>
                    <w:ind w:firstLine="0"/>
                    <w:jc w:val="center"/>
                    <w:rPr>
                      <w:rFonts w:cs="Times New Roman"/>
                      <w:sz w:val="21"/>
                      <w:szCs w:val="21"/>
                      <w:highlight w:val="none"/>
                    </w:rPr>
                  </w:pPr>
                  <w:r>
                    <w:rPr>
                      <w:rFonts w:cs="Times New Roman"/>
                      <w:sz w:val="21"/>
                      <w:szCs w:val="21"/>
                      <w:highlight w:val="none"/>
                    </w:rPr>
                    <w:t>每季度1次</w:t>
                  </w:r>
                </w:p>
              </w:tc>
              <w:tc>
                <w:tcPr>
                  <w:tcW w:w="1202" w:type="pct"/>
                  <w:vAlign w:val="center"/>
                </w:tcPr>
                <w:p w14:paraId="37E157E4">
                  <w:pPr>
                    <w:pStyle w:val="85"/>
                    <w:spacing w:line="240" w:lineRule="auto"/>
                    <w:ind w:firstLine="0"/>
                    <w:jc w:val="center"/>
                    <w:rPr>
                      <w:rFonts w:cs="Times New Roman"/>
                      <w:sz w:val="21"/>
                      <w:szCs w:val="21"/>
                      <w:highlight w:val="none"/>
                    </w:rPr>
                  </w:pPr>
                  <w:r>
                    <w:rPr>
                      <w:rFonts w:cs="Times New Roman"/>
                      <w:sz w:val="21"/>
                      <w:szCs w:val="21"/>
                      <w:highlight w:val="none"/>
                    </w:rPr>
                    <w:t>《工业企业厂界环境噪声排放标准》(GB12348-2008)中的</w:t>
                  </w:r>
                  <w:r>
                    <w:rPr>
                      <w:rFonts w:hint="eastAsia" w:cs="Times New Roman"/>
                      <w:sz w:val="21"/>
                      <w:szCs w:val="21"/>
                      <w:highlight w:val="none"/>
                      <w:lang w:val="en-US" w:eastAsia="zh-CN"/>
                    </w:rPr>
                    <w:t>2</w:t>
                  </w:r>
                  <w:r>
                    <w:rPr>
                      <w:rFonts w:cs="Times New Roman"/>
                      <w:sz w:val="21"/>
                      <w:szCs w:val="21"/>
                      <w:highlight w:val="none"/>
                    </w:rPr>
                    <w:t>类</w:t>
                  </w:r>
                </w:p>
              </w:tc>
              <w:tc>
                <w:tcPr>
                  <w:tcW w:w="1000" w:type="pct"/>
                  <w:vAlign w:val="center"/>
                </w:tcPr>
                <w:p w14:paraId="172EA06E">
                  <w:pPr>
                    <w:pStyle w:val="85"/>
                    <w:spacing w:line="240" w:lineRule="auto"/>
                    <w:ind w:firstLine="0"/>
                    <w:jc w:val="center"/>
                    <w:rPr>
                      <w:rFonts w:cs="Times New Roman"/>
                      <w:sz w:val="21"/>
                      <w:szCs w:val="21"/>
                      <w:highlight w:val="none"/>
                    </w:rPr>
                  </w:pPr>
                  <w:r>
                    <w:rPr>
                      <w:rFonts w:hint="eastAsia" w:cs="Times New Roman"/>
                      <w:sz w:val="21"/>
                      <w:szCs w:val="21"/>
                      <w:highlight w:val="none"/>
                      <w:lang w:val="en-US" w:eastAsia="zh-CN"/>
                    </w:rPr>
                    <w:t>60</w:t>
                  </w:r>
                  <w:r>
                    <w:rPr>
                      <w:rFonts w:cs="Times New Roman"/>
                      <w:sz w:val="21"/>
                      <w:szCs w:val="21"/>
                      <w:highlight w:val="none"/>
                    </w:rPr>
                    <w:t>（昼间）</w:t>
                  </w:r>
                </w:p>
                <w:p w14:paraId="4CF2D8D4">
                  <w:pPr>
                    <w:pStyle w:val="85"/>
                    <w:spacing w:line="240" w:lineRule="auto"/>
                    <w:ind w:firstLine="0"/>
                    <w:jc w:val="center"/>
                    <w:rPr>
                      <w:rFonts w:cs="Times New Roman"/>
                      <w:sz w:val="21"/>
                      <w:szCs w:val="21"/>
                      <w:highlight w:val="none"/>
                    </w:rPr>
                  </w:pPr>
                  <w:r>
                    <w:rPr>
                      <w:rFonts w:cs="Times New Roman"/>
                      <w:sz w:val="21"/>
                      <w:szCs w:val="21"/>
                      <w:highlight w:val="none"/>
                    </w:rPr>
                    <w:t>5</w:t>
                  </w:r>
                  <w:r>
                    <w:rPr>
                      <w:rFonts w:hint="eastAsia" w:cs="Times New Roman"/>
                      <w:sz w:val="21"/>
                      <w:szCs w:val="21"/>
                      <w:highlight w:val="none"/>
                      <w:lang w:val="en-US" w:eastAsia="zh-CN"/>
                    </w:rPr>
                    <w:t>0</w:t>
                  </w:r>
                  <w:r>
                    <w:rPr>
                      <w:rFonts w:cs="Times New Roman"/>
                      <w:sz w:val="21"/>
                      <w:szCs w:val="21"/>
                      <w:highlight w:val="none"/>
                    </w:rPr>
                    <w:t>（夜间）</w:t>
                  </w:r>
                </w:p>
              </w:tc>
            </w:tr>
          </w:tbl>
          <w:p w14:paraId="4BCB6C3B">
            <w:pPr>
              <w:adjustRightInd w:val="0"/>
              <w:snapToGrid w:val="0"/>
              <w:spacing w:line="300" w:lineRule="auto"/>
              <w:ind w:firstLine="482"/>
              <w:rPr>
                <w:b/>
                <w:bCs/>
                <w:szCs w:val="32"/>
              </w:rPr>
            </w:pPr>
            <w:r>
              <w:rPr>
                <w:b/>
                <w:bCs/>
                <w:szCs w:val="32"/>
              </w:rPr>
              <w:t>四、固体废物</w:t>
            </w:r>
          </w:p>
          <w:p w14:paraId="2264BC1B">
            <w:pPr>
              <w:adjustRightInd w:val="0"/>
              <w:snapToGrid w:val="0"/>
              <w:spacing w:line="300" w:lineRule="auto"/>
              <w:ind w:firstLine="482"/>
              <w:rPr>
                <w:b/>
                <w:bCs/>
                <w:szCs w:val="32"/>
              </w:rPr>
            </w:pPr>
            <w:r>
              <w:rPr>
                <w:b/>
                <w:bCs/>
                <w:szCs w:val="32"/>
              </w:rPr>
              <w:t>1、生活垃圾</w:t>
            </w:r>
          </w:p>
          <w:p w14:paraId="2F7F86D1">
            <w:pPr>
              <w:adjustRightInd w:val="0"/>
              <w:snapToGrid w:val="0"/>
              <w:spacing w:line="300" w:lineRule="auto"/>
              <w:ind w:firstLine="480"/>
            </w:pPr>
            <w:r>
              <w:rPr>
                <w:rFonts w:hint="eastAsia"/>
                <w:lang w:val="en-US" w:eastAsia="zh-CN"/>
              </w:rPr>
              <w:t>项目定员</w:t>
            </w:r>
            <w:r>
              <w:t>8人，住宿生活垃圾按每日每人次产生1kg计，则</w:t>
            </w:r>
            <w:r>
              <w:rPr>
                <w:rFonts w:hint="eastAsia"/>
                <w:lang w:val="en-US" w:eastAsia="zh-CN"/>
              </w:rPr>
              <w:t>员工</w:t>
            </w:r>
            <w:r>
              <w:t>生活垃圾产生量为</w:t>
            </w:r>
            <w:r>
              <w:rPr>
                <w:rFonts w:hint="eastAsia"/>
                <w:lang w:val="en-US" w:eastAsia="zh-CN"/>
              </w:rPr>
              <w:t>8kg</w:t>
            </w:r>
            <w:r>
              <w:t>/d（</w:t>
            </w:r>
            <w:r>
              <w:rPr>
                <w:rFonts w:hint="eastAsia"/>
                <w:lang w:val="en-US" w:eastAsia="zh-CN"/>
              </w:rPr>
              <w:t>2</w:t>
            </w:r>
            <w:r>
              <w:t>t/a），由环卫部门每日清运处理。</w:t>
            </w:r>
          </w:p>
          <w:p w14:paraId="6E747AA1">
            <w:pPr>
              <w:adjustRightInd w:val="0"/>
              <w:snapToGrid w:val="0"/>
              <w:spacing w:line="300" w:lineRule="auto"/>
              <w:ind w:firstLine="482"/>
              <w:rPr>
                <w:rFonts w:hint="default" w:eastAsia="宋体"/>
                <w:b/>
                <w:bCs/>
                <w:szCs w:val="32"/>
                <w:lang w:val="en-US" w:eastAsia="zh-CN"/>
              </w:rPr>
            </w:pPr>
            <w:r>
              <w:rPr>
                <w:rFonts w:hint="eastAsia"/>
                <w:b/>
                <w:bCs/>
                <w:szCs w:val="32"/>
                <w:lang w:val="en-US" w:eastAsia="zh-CN"/>
              </w:rPr>
              <w:t>2、废包装袋和废包装桶</w:t>
            </w:r>
          </w:p>
          <w:p w14:paraId="79384987">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eastAsia="宋体"/>
                <w:b w:val="0"/>
                <w:bCs w:val="0"/>
                <w:szCs w:val="32"/>
                <w:lang w:val="en-US" w:eastAsia="zh-CN"/>
              </w:rPr>
            </w:pPr>
            <w:r>
              <w:rPr>
                <w:rFonts w:hint="eastAsia"/>
                <w:b w:val="0"/>
                <w:bCs w:val="0"/>
                <w:szCs w:val="32"/>
                <w:lang w:val="en-US" w:eastAsia="zh-CN"/>
              </w:rPr>
              <w:t>项目粉料拆包会产生一定的废包装袋；液体原料（除乙二醇单丁醚外）拆包会产生一定的包装桶，大部分交由供应商回收，少量破损的废包装桶交由物资回收单位回收利用，废包装袋和废包装桶年产生量约2吨。</w:t>
            </w:r>
          </w:p>
          <w:p w14:paraId="041DAE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b w:val="0"/>
                <w:bCs w:val="0"/>
                <w:lang w:val="en-US" w:eastAsia="zh-CN"/>
              </w:rPr>
            </w:pPr>
            <w:r>
              <w:rPr>
                <w:rFonts w:hint="eastAsia"/>
                <w:b/>
                <w:bCs/>
                <w:lang w:val="en-US" w:eastAsia="zh-CN"/>
              </w:rPr>
              <w:t>3、集尘</w:t>
            </w:r>
          </w:p>
          <w:p w14:paraId="528A09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b w:val="0"/>
                <w:bCs w:val="0"/>
                <w:lang w:val="en-US" w:eastAsia="zh-CN"/>
              </w:rPr>
            </w:pPr>
            <w:r>
              <w:rPr>
                <w:rFonts w:hint="eastAsia"/>
                <w:b w:val="0"/>
                <w:bCs w:val="0"/>
                <w:lang w:val="en-US" w:eastAsia="zh-CN"/>
              </w:rPr>
              <w:t>本项目采用布袋除尘器对粉尘进行收集处理，集尘约为0.022t/a，全部回用于生产。</w:t>
            </w:r>
          </w:p>
          <w:p w14:paraId="436A9056">
            <w:pPr>
              <w:pStyle w:val="1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bCs/>
                <w:kern w:val="2"/>
                <w:sz w:val="24"/>
                <w:szCs w:val="32"/>
                <w:lang w:val="en-US" w:eastAsia="zh-CN" w:bidi="ar-SA"/>
              </w:rPr>
            </w:pPr>
            <w:r>
              <w:rPr>
                <w:rFonts w:hint="eastAsia" w:ascii="Times New Roman" w:hAnsi="Times New Roman" w:cs="Times New Roman"/>
                <w:b/>
                <w:bCs/>
                <w:kern w:val="2"/>
                <w:sz w:val="24"/>
                <w:szCs w:val="32"/>
                <w:lang w:val="en-US" w:eastAsia="zh-CN" w:bidi="ar-SA"/>
              </w:rPr>
              <w:t>4、</w:t>
            </w:r>
            <w:r>
              <w:rPr>
                <w:rFonts w:hint="eastAsia" w:ascii="Times New Roman" w:hAnsi="Times New Roman" w:eastAsia="宋体" w:cs="Times New Roman"/>
                <w:b/>
                <w:bCs/>
                <w:kern w:val="2"/>
                <w:sz w:val="24"/>
                <w:szCs w:val="32"/>
                <w:lang w:val="en-US" w:eastAsia="zh-CN" w:bidi="ar-SA"/>
              </w:rPr>
              <w:t>废机油</w:t>
            </w:r>
          </w:p>
          <w:p w14:paraId="79FCE65F">
            <w:pPr>
              <w:pStyle w:val="112"/>
              <w:keepNext w:val="0"/>
              <w:keepLines w:val="0"/>
              <w:pageBreakBefore w:val="0"/>
              <w:widowControl w:val="0"/>
              <w:kinsoku/>
              <w:wordWrap/>
              <w:overflowPunct/>
              <w:topLinePunct w:val="0"/>
              <w:autoSpaceDE/>
              <w:autoSpaceDN/>
              <w:bidi w:val="0"/>
              <w:adjustRightInd w:val="0"/>
              <w:snapToGrid w:val="0"/>
              <w:spacing w:line="360" w:lineRule="auto"/>
              <w:ind w:left="107" w:right="103" w:firstLine="484"/>
              <w:textAlignment w:val="auto"/>
              <w:rPr>
                <w:rFonts w:hint="eastAsia" w:ascii="Times New Roman" w:hAnsi="Times New Roman" w:eastAsia="宋体" w:cs="Times New Roman"/>
                <w:b w:val="0"/>
                <w:bCs w:val="0"/>
                <w:kern w:val="2"/>
                <w:sz w:val="24"/>
                <w:szCs w:val="32"/>
                <w:lang w:val="en-US" w:eastAsia="zh-CN" w:bidi="ar-SA"/>
              </w:rPr>
            </w:pPr>
            <w:r>
              <w:rPr>
                <w:rFonts w:hint="eastAsia" w:ascii="Times New Roman" w:hAnsi="Times New Roman" w:eastAsia="宋体" w:cs="Times New Roman"/>
                <w:b w:val="0"/>
                <w:bCs w:val="0"/>
                <w:kern w:val="2"/>
                <w:sz w:val="24"/>
                <w:szCs w:val="32"/>
                <w:lang w:val="en-US" w:eastAsia="zh-CN" w:bidi="ar-SA"/>
              </w:rPr>
              <w:t>项目实施后，设备维护会产生少量废机油，废机油的产生量约为0.2t/a ，废机油为危险废物，交由有资质的单位处置。</w:t>
            </w:r>
          </w:p>
          <w:p w14:paraId="30D41B37">
            <w:pPr>
              <w:pStyle w:val="112"/>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imes New Roman" w:hAnsi="Times New Roman" w:eastAsia="宋体" w:cs="Times New Roman"/>
                <w:b/>
                <w:bCs/>
                <w:kern w:val="2"/>
                <w:sz w:val="24"/>
                <w:szCs w:val="32"/>
                <w:lang w:val="en-US" w:eastAsia="zh-CN" w:bidi="ar-SA"/>
              </w:rPr>
            </w:pPr>
            <w:r>
              <w:rPr>
                <w:rFonts w:hint="eastAsia" w:ascii="Times New Roman" w:hAnsi="Times New Roman" w:cs="Times New Roman"/>
                <w:b/>
                <w:bCs/>
                <w:kern w:val="2"/>
                <w:sz w:val="24"/>
                <w:szCs w:val="32"/>
                <w:lang w:val="en-US" w:eastAsia="zh-CN" w:bidi="ar-SA"/>
              </w:rPr>
              <w:t>5、</w:t>
            </w:r>
            <w:r>
              <w:rPr>
                <w:rFonts w:hint="eastAsia" w:ascii="Times New Roman" w:hAnsi="Times New Roman" w:eastAsia="宋体" w:cs="Times New Roman"/>
                <w:b/>
                <w:bCs/>
                <w:kern w:val="2"/>
                <w:sz w:val="24"/>
                <w:szCs w:val="32"/>
                <w:lang w:val="en-US" w:eastAsia="zh-CN" w:bidi="ar-SA"/>
              </w:rPr>
              <w:t>废机油桶</w:t>
            </w:r>
          </w:p>
          <w:p w14:paraId="3AC092D1">
            <w:pPr>
              <w:pStyle w:val="112"/>
              <w:keepNext w:val="0"/>
              <w:keepLines w:val="0"/>
              <w:pageBreakBefore w:val="0"/>
              <w:widowControl w:val="0"/>
              <w:kinsoku/>
              <w:wordWrap/>
              <w:overflowPunct/>
              <w:topLinePunct w:val="0"/>
              <w:autoSpaceDE/>
              <w:autoSpaceDN/>
              <w:bidi w:val="0"/>
              <w:adjustRightInd w:val="0"/>
              <w:snapToGrid w:val="0"/>
              <w:spacing w:line="360" w:lineRule="auto"/>
              <w:ind w:right="103"/>
              <w:textAlignment w:val="auto"/>
              <w:rPr>
                <w:rFonts w:hint="eastAsia" w:ascii="Times New Roman" w:hAnsi="Times New Roman" w:eastAsia="宋体" w:cs="Times New Roman"/>
                <w:b w:val="0"/>
                <w:bCs w:val="0"/>
                <w:kern w:val="2"/>
                <w:sz w:val="24"/>
                <w:szCs w:val="32"/>
                <w:lang w:val="en-US" w:eastAsia="zh-CN" w:bidi="ar-SA"/>
              </w:rPr>
            </w:pPr>
            <w:r>
              <w:rPr>
                <w:rFonts w:hint="eastAsia" w:ascii="Times New Roman" w:hAnsi="Times New Roman" w:eastAsia="宋体" w:cs="Times New Roman"/>
                <w:b w:val="0"/>
                <w:bCs w:val="0"/>
                <w:kern w:val="2"/>
                <w:sz w:val="24"/>
                <w:szCs w:val="32"/>
                <w:lang w:val="en-US" w:eastAsia="zh-CN" w:bidi="ar-SA"/>
              </w:rPr>
              <w:t>设备维护过程中使用机油，会产生一定量的废机油桶，废机油桶的产生量约为 0.002t/a ，废机油桶为危险废物，交由有资质的单位处置。</w:t>
            </w:r>
          </w:p>
          <w:p w14:paraId="6D3FEA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b/>
                <w:bCs/>
                <w:lang w:val="en-US" w:eastAsia="zh-CN"/>
              </w:rPr>
            </w:pPr>
            <w:r>
              <w:rPr>
                <w:rFonts w:hint="eastAsia"/>
                <w:b/>
                <w:bCs/>
                <w:lang w:val="en-US" w:eastAsia="zh-CN"/>
              </w:rPr>
              <w:t>6、废溶剂桶</w:t>
            </w:r>
          </w:p>
          <w:p w14:paraId="24C0AD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b w:val="0"/>
                <w:bCs w:val="0"/>
                <w:lang w:val="en-US" w:eastAsia="zh-CN"/>
              </w:rPr>
            </w:pPr>
            <w:r>
              <w:rPr>
                <w:rFonts w:hint="eastAsia"/>
                <w:b w:val="0"/>
                <w:bCs w:val="0"/>
                <w:lang w:val="en-US" w:eastAsia="zh-CN"/>
              </w:rPr>
              <w:t>本项目</w:t>
            </w:r>
            <w:r>
              <w:rPr>
                <w:rFonts w:hint="eastAsia"/>
                <w:b w:val="0"/>
                <w:bCs w:val="0"/>
                <w:szCs w:val="32"/>
                <w:lang w:val="en-US" w:eastAsia="zh-CN"/>
              </w:rPr>
              <w:t>乙二醇单丁醚</w:t>
            </w:r>
            <w:r>
              <w:rPr>
                <w:rFonts w:hint="eastAsia"/>
                <w:b w:val="0"/>
                <w:bCs w:val="0"/>
                <w:lang w:val="en-US" w:eastAsia="zh-CN"/>
              </w:rPr>
              <w:t>使用后会产生一定的废溶剂桶，大部分交由供应商回收利用，少量破损废包装桶（产生量约0.02t/a）属于危险废物，</w:t>
            </w:r>
            <w:r>
              <w:rPr>
                <w:rFonts w:hint="eastAsia" w:ascii="Times New Roman" w:hAnsi="Times New Roman" w:eastAsia="宋体" w:cs="Times New Roman"/>
                <w:b w:val="0"/>
                <w:bCs w:val="0"/>
                <w:kern w:val="2"/>
                <w:sz w:val="24"/>
                <w:szCs w:val="32"/>
                <w:lang w:val="en-US" w:eastAsia="zh-CN" w:bidi="ar-SA"/>
              </w:rPr>
              <w:t>交由有资质的单位处置。</w:t>
            </w:r>
          </w:p>
          <w:p w14:paraId="0DCB06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b w:val="0"/>
                <w:bCs w:val="0"/>
                <w:lang w:val="en-US" w:eastAsia="zh-CN"/>
              </w:rPr>
            </w:pPr>
            <w:r>
              <w:rPr>
                <w:rFonts w:hint="eastAsia"/>
                <w:b/>
                <w:bCs/>
                <w:lang w:val="en-US" w:eastAsia="zh-CN"/>
              </w:rPr>
              <w:t>7、废活性炭</w:t>
            </w:r>
          </w:p>
          <w:p w14:paraId="21079528">
            <w:pPr>
              <w:pStyle w:val="112"/>
              <w:keepNext w:val="0"/>
              <w:keepLines w:val="0"/>
              <w:pageBreakBefore w:val="0"/>
              <w:widowControl w:val="0"/>
              <w:kinsoku/>
              <w:wordWrap/>
              <w:overflowPunct/>
              <w:topLinePunct w:val="0"/>
              <w:autoSpaceDE/>
              <w:autoSpaceDN/>
              <w:bidi w:val="0"/>
              <w:adjustRightInd w:val="0"/>
              <w:snapToGrid w:val="0"/>
              <w:spacing w:line="360" w:lineRule="auto"/>
              <w:ind w:left="107" w:right="103" w:firstLine="484"/>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本项目采用“二级活性炭吸附装置”对有机废气进行处理，活性炭更换量为24.88</w:t>
            </w:r>
            <w:r>
              <w:rPr>
                <w:rFonts w:hint="eastAsia" w:ascii="Times New Roman" w:hAnsi="Times New Roman" w:cs="Times New Roman"/>
                <w:b w:val="0"/>
                <w:bCs w:val="0"/>
                <w:kern w:val="2"/>
                <w:sz w:val="24"/>
                <w:szCs w:val="24"/>
                <w:lang w:val="en-US" w:eastAsia="zh-CN" w:bidi="ar-SA"/>
              </w:rPr>
              <w:t>8</w:t>
            </w:r>
            <w:r>
              <w:rPr>
                <w:rFonts w:hint="eastAsia" w:ascii="Times New Roman" w:hAnsi="Times New Roman" w:eastAsia="宋体" w:cs="Times New Roman"/>
                <w:b w:val="0"/>
                <w:bCs w:val="0"/>
                <w:kern w:val="2"/>
                <w:sz w:val="24"/>
                <w:szCs w:val="24"/>
                <w:lang w:val="en-US" w:eastAsia="zh-CN" w:bidi="ar-SA"/>
              </w:rPr>
              <w:t>t/a，有机废气消减量3.557t/a，则废活性炭产生量为28.44</w:t>
            </w:r>
            <w:r>
              <w:rPr>
                <w:rFonts w:hint="eastAsia" w:ascii="Times New Roman" w:hAnsi="Times New Roman" w:cs="Times New Roman"/>
                <w:b w:val="0"/>
                <w:bCs w:val="0"/>
                <w:kern w:val="2"/>
                <w:sz w:val="24"/>
                <w:szCs w:val="24"/>
                <w:lang w:val="en-US" w:eastAsia="zh-CN" w:bidi="ar-SA"/>
              </w:rPr>
              <w:t>5</w:t>
            </w:r>
            <w:r>
              <w:rPr>
                <w:rFonts w:hint="eastAsia" w:ascii="Times New Roman" w:hAnsi="Times New Roman" w:eastAsia="宋体" w:cs="Times New Roman"/>
                <w:b w:val="0"/>
                <w:bCs w:val="0"/>
                <w:kern w:val="2"/>
                <w:sz w:val="24"/>
                <w:szCs w:val="24"/>
                <w:lang w:val="en-US" w:eastAsia="zh-CN" w:bidi="ar-SA"/>
              </w:rPr>
              <w:t>t/a。废活性炭为危险废物，委托有资质的单位处理。</w:t>
            </w:r>
          </w:p>
          <w:p w14:paraId="44D98981">
            <w:pPr>
              <w:spacing w:line="240" w:lineRule="auto"/>
              <w:ind w:firstLine="0" w:firstLineChars="0"/>
              <w:jc w:val="center"/>
              <w:rPr>
                <w:b/>
                <w:bCs/>
                <w:szCs w:val="21"/>
              </w:rPr>
            </w:pPr>
            <w:r>
              <w:rPr>
                <w:b/>
                <w:bCs/>
                <w:szCs w:val="21"/>
              </w:rPr>
              <w:t>表4-</w:t>
            </w:r>
            <w:r>
              <w:rPr>
                <w:rFonts w:hint="eastAsia"/>
                <w:b/>
                <w:bCs/>
                <w:szCs w:val="21"/>
                <w:lang w:val="en-US" w:eastAsia="zh-CN"/>
              </w:rPr>
              <w:t>13</w:t>
            </w:r>
            <w:r>
              <w:rPr>
                <w:b/>
                <w:bCs/>
                <w:szCs w:val="21"/>
              </w:rPr>
              <w:t>本项目固体废物汇总表</w:t>
            </w:r>
          </w:p>
          <w:tbl>
            <w:tblPr>
              <w:tblStyle w:val="31"/>
              <w:tblW w:w="827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633"/>
              <w:gridCol w:w="1384"/>
              <w:gridCol w:w="971"/>
              <w:gridCol w:w="1182"/>
              <w:gridCol w:w="1182"/>
              <w:gridCol w:w="1182"/>
            </w:tblGrid>
            <w:tr w14:paraId="5504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B138">
                  <w:pPr>
                    <w:widowControl/>
                    <w:adjustRightInd w:val="0"/>
                    <w:snapToGrid w:val="0"/>
                    <w:spacing w:line="240" w:lineRule="auto"/>
                    <w:ind w:firstLine="0" w:firstLineChars="0"/>
                    <w:jc w:val="center"/>
                    <w:textAlignment w:val="center"/>
                    <w:rPr>
                      <w:kern w:val="0"/>
                      <w:sz w:val="21"/>
                      <w:szCs w:val="21"/>
                    </w:rPr>
                  </w:pPr>
                  <w:r>
                    <w:rPr>
                      <w:rFonts w:hint="eastAsia"/>
                      <w:kern w:val="0"/>
                      <w:sz w:val="21"/>
                      <w:szCs w:val="21"/>
                      <w:lang w:val="en-US" w:eastAsia="zh-CN"/>
                    </w:rPr>
                    <w:t>序 号</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EBC6">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产生工序</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FBE2">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固废名称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E965">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形态</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5A8">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主要成分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7968">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产生量</w:t>
                  </w:r>
                  <w:r>
                    <w:rPr>
                      <w:rFonts w:hint="default"/>
                      <w:kern w:val="0"/>
                      <w:sz w:val="21"/>
                      <w:szCs w:val="21"/>
                      <w:lang w:val="en-US" w:eastAsia="zh-CN"/>
                    </w:rPr>
                    <w:t>(t/a)</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5E54">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处置去向</w:t>
                  </w:r>
                </w:p>
              </w:tc>
            </w:tr>
            <w:tr w14:paraId="281B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54C6">
                  <w:pPr>
                    <w:widowControl/>
                    <w:adjustRightInd w:val="0"/>
                    <w:snapToGrid w:val="0"/>
                    <w:spacing w:line="240" w:lineRule="auto"/>
                    <w:ind w:firstLine="0" w:firstLineChars="0"/>
                    <w:jc w:val="center"/>
                    <w:textAlignment w:val="center"/>
                    <w:rPr>
                      <w:rFonts w:hint="default"/>
                      <w:kern w:val="0"/>
                      <w:sz w:val="21"/>
                      <w:szCs w:val="21"/>
                    </w:rPr>
                  </w:pPr>
                  <w:r>
                    <w:rPr>
                      <w:rFonts w:hint="default"/>
                      <w:kern w:val="0"/>
                      <w:sz w:val="21"/>
                      <w:szCs w:val="21"/>
                      <w:lang w:val="en-US" w:eastAsia="zh-CN"/>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AB1A">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员工办公生活</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1EDD">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生活垃圾</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3292">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固体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AF43">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生活垃圾</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F54D">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4CB">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交由环卫部门</w:t>
                  </w:r>
                </w:p>
              </w:tc>
            </w:tr>
            <w:tr w14:paraId="1590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F4DA">
                  <w:pPr>
                    <w:widowControl/>
                    <w:adjustRightInd w:val="0"/>
                    <w:snapToGrid w:val="0"/>
                    <w:spacing w:line="240" w:lineRule="auto"/>
                    <w:ind w:firstLine="0" w:firstLineChars="0"/>
                    <w:jc w:val="center"/>
                    <w:textAlignment w:val="center"/>
                    <w:rPr>
                      <w:rFonts w:hint="default"/>
                      <w:kern w:val="0"/>
                      <w:sz w:val="21"/>
                      <w:szCs w:val="21"/>
                    </w:rPr>
                  </w:pPr>
                  <w:r>
                    <w:rPr>
                      <w:rFonts w:hint="default"/>
                      <w:kern w:val="0"/>
                      <w:sz w:val="21"/>
                      <w:szCs w:val="21"/>
                      <w:lang w:val="en-US" w:eastAsia="zh-CN"/>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0F17">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粉料原料拆包</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33B2">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废包装袋、废包装桶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30A7">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固体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C83F">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塑料袋等</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718">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BBB8">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交由物资回收单位</w:t>
                  </w:r>
                </w:p>
              </w:tc>
            </w:tr>
            <w:tr w14:paraId="682F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5DB7">
                  <w:pPr>
                    <w:widowControl/>
                    <w:adjustRightInd w:val="0"/>
                    <w:snapToGrid w:val="0"/>
                    <w:spacing w:line="240" w:lineRule="auto"/>
                    <w:ind w:firstLine="0" w:firstLineChars="0"/>
                    <w:jc w:val="center"/>
                    <w:textAlignment w:val="center"/>
                    <w:rPr>
                      <w:rFonts w:hint="default"/>
                      <w:kern w:val="0"/>
                      <w:sz w:val="21"/>
                      <w:szCs w:val="21"/>
                    </w:rPr>
                  </w:pPr>
                  <w:r>
                    <w:rPr>
                      <w:rFonts w:hint="default"/>
                      <w:kern w:val="0"/>
                      <w:sz w:val="21"/>
                      <w:szCs w:val="21"/>
                      <w:lang w:val="en-US" w:eastAsia="zh-CN"/>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6920">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废气处理</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EF4E">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集尘</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BC54">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固体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C3F2">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粉体原料</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4E1A">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0.022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2F68">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回用于生产</w:t>
                  </w:r>
                </w:p>
              </w:tc>
            </w:tr>
            <w:tr w14:paraId="34C6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C6AC">
                  <w:pPr>
                    <w:widowControl/>
                    <w:adjustRightInd w:val="0"/>
                    <w:snapToGrid w:val="0"/>
                    <w:spacing w:line="240" w:lineRule="auto"/>
                    <w:ind w:firstLine="0" w:firstLineChars="0"/>
                    <w:jc w:val="center"/>
                    <w:textAlignment w:val="center"/>
                    <w:rPr>
                      <w:rFonts w:hint="default"/>
                      <w:kern w:val="0"/>
                      <w:sz w:val="21"/>
                      <w:szCs w:val="21"/>
                    </w:rPr>
                  </w:pPr>
                  <w:r>
                    <w:rPr>
                      <w:rFonts w:hint="default"/>
                      <w:kern w:val="0"/>
                      <w:sz w:val="21"/>
                      <w:szCs w:val="21"/>
                      <w:lang w:val="en-US" w:eastAsia="zh-CN"/>
                    </w:rPr>
                    <w:t>5</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4684">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设备保养维修</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69E8">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废机油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41B3">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液体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504">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矿物油等</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4F69">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0.2</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A07C2">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委托有资质单位处理</w:t>
                  </w:r>
                </w:p>
              </w:tc>
            </w:tr>
            <w:tr w14:paraId="6D73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5E30">
                  <w:pPr>
                    <w:widowControl/>
                    <w:adjustRightInd w:val="0"/>
                    <w:snapToGrid w:val="0"/>
                    <w:spacing w:line="240" w:lineRule="auto"/>
                    <w:ind w:firstLine="0" w:firstLineChars="0"/>
                    <w:jc w:val="center"/>
                    <w:textAlignment w:val="center"/>
                    <w:rPr>
                      <w:rFonts w:hint="default"/>
                      <w:kern w:val="0"/>
                      <w:sz w:val="21"/>
                      <w:szCs w:val="21"/>
                    </w:rPr>
                  </w:pPr>
                  <w:r>
                    <w:rPr>
                      <w:rFonts w:hint="default"/>
                      <w:kern w:val="0"/>
                      <w:sz w:val="21"/>
                      <w:szCs w:val="21"/>
                      <w:lang w:val="en-US" w:eastAsia="zh-CN"/>
                    </w:rPr>
                    <w:t>6</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3ECF">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设备保养维修</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3410">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废机油桶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3E5D">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固体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EFB2">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矿物油等</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83BD">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0.002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77D30">
                  <w:pPr>
                    <w:widowControl/>
                    <w:adjustRightInd w:val="0"/>
                    <w:snapToGrid w:val="0"/>
                    <w:spacing w:line="240" w:lineRule="auto"/>
                    <w:ind w:firstLine="0" w:firstLineChars="0"/>
                    <w:jc w:val="center"/>
                    <w:textAlignment w:val="center"/>
                    <w:rPr>
                      <w:rFonts w:hint="eastAsia"/>
                      <w:kern w:val="0"/>
                      <w:sz w:val="21"/>
                      <w:szCs w:val="21"/>
                    </w:rPr>
                  </w:pPr>
                </w:p>
              </w:tc>
            </w:tr>
            <w:tr w14:paraId="4198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6A65">
                  <w:pPr>
                    <w:widowControl/>
                    <w:adjustRightInd w:val="0"/>
                    <w:snapToGrid w:val="0"/>
                    <w:spacing w:line="240" w:lineRule="auto"/>
                    <w:ind w:firstLine="0" w:firstLineChars="0"/>
                    <w:jc w:val="center"/>
                    <w:textAlignment w:val="center"/>
                    <w:rPr>
                      <w:rFonts w:hint="default"/>
                      <w:kern w:val="0"/>
                      <w:sz w:val="21"/>
                      <w:szCs w:val="21"/>
                    </w:rPr>
                  </w:pPr>
                  <w:r>
                    <w:rPr>
                      <w:rFonts w:hint="eastAsia"/>
                      <w:kern w:val="0"/>
                      <w:sz w:val="21"/>
                      <w:szCs w:val="21"/>
                      <w:lang w:val="en-US" w:eastAsia="zh-CN"/>
                    </w:rPr>
                    <w:t>7</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B988">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液体原料使用</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DA0">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废溶剂桶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F990">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固体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3D07">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有机溶剂</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3A0A">
                  <w:pPr>
                    <w:widowControl/>
                    <w:adjustRightInd w:val="0"/>
                    <w:snapToGrid w:val="0"/>
                    <w:spacing w:line="240" w:lineRule="auto"/>
                    <w:ind w:firstLine="0" w:firstLineChars="0"/>
                    <w:jc w:val="center"/>
                    <w:textAlignment w:val="center"/>
                    <w:rPr>
                      <w:rFonts w:hint="default"/>
                      <w:kern w:val="0"/>
                      <w:sz w:val="21"/>
                      <w:szCs w:val="21"/>
                      <w:lang w:val="en-US"/>
                    </w:rPr>
                  </w:pPr>
                  <w:r>
                    <w:rPr>
                      <w:rFonts w:hint="eastAsia"/>
                      <w:kern w:val="0"/>
                      <w:sz w:val="21"/>
                      <w:szCs w:val="21"/>
                      <w:lang w:val="en-US" w:eastAsia="zh-CN"/>
                    </w:rPr>
                    <w:t>0.02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571C">
                  <w:pPr>
                    <w:widowControl/>
                    <w:adjustRightInd w:val="0"/>
                    <w:snapToGrid w:val="0"/>
                    <w:spacing w:line="240" w:lineRule="auto"/>
                    <w:ind w:firstLine="0" w:firstLineChars="0"/>
                    <w:jc w:val="center"/>
                    <w:textAlignment w:val="center"/>
                    <w:rPr>
                      <w:rFonts w:hint="eastAsia"/>
                      <w:kern w:val="0"/>
                      <w:sz w:val="21"/>
                      <w:szCs w:val="21"/>
                    </w:rPr>
                  </w:pPr>
                </w:p>
              </w:tc>
            </w:tr>
            <w:tr w14:paraId="214E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B8E0">
                  <w:pPr>
                    <w:widowControl/>
                    <w:adjustRightInd w:val="0"/>
                    <w:snapToGrid w:val="0"/>
                    <w:spacing w:line="240" w:lineRule="auto"/>
                    <w:ind w:firstLine="0" w:firstLineChars="0"/>
                    <w:jc w:val="center"/>
                    <w:textAlignment w:val="center"/>
                    <w:rPr>
                      <w:rFonts w:hint="default"/>
                      <w:kern w:val="0"/>
                      <w:sz w:val="21"/>
                      <w:szCs w:val="21"/>
                    </w:rPr>
                  </w:pPr>
                  <w:r>
                    <w:rPr>
                      <w:rFonts w:hint="eastAsia"/>
                      <w:kern w:val="0"/>
                      <w:sz w:val="21"/>
                      <w:szCs w:val="21"/>
                      <w:lang w:val="en-US" w:eastAsia="zh-CN"/>
                    </w:rPr>
                    <w:t>8</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F8E7">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废气处理</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EFF7">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废活性炭</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893C">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固体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CA76">
                  <w:pPr>
                    <w:widowControl/>
                    <w:adjustRightInd w:val="0"/>
                    <w:snapToGrid w:val="0"/>
                    <w:spacing w:line="240" w:lineRule="auto"/>
                    <w:ind w:firstLine="0" w:firstLineChars="0"/>
                    <w:jc w:val="center"/>
                    <w:textAlignment w:val="center"/>
                    <w:rPr>
                      <w:rFonts w:hint="eastAsia"/>
                      <w:kern w:val="0"/>
                      <w:sz w:val="21"/>
                      <w:szCs w:val="21"/>
                    </w:rPr>
                  </w:pPr>
                  <w:r>
                    <w:rPr>
                      <w:rFonts w:hint="eastAsia"/>
                      <w:kern w:val="0"/>
                      <w:sz w:val="21"/>
                      <w:szCs w:val="21"/>
                      <w:lang w:val="en-US" w:eastAsia="zh-CN"/>
                    </w:rPr>
                    <w:t>活性炭、有机废气</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4E23">
                  <w:pPr>
                    <w:widowControl/>
                    <w:adjustRightInd w:val="0"/>
                    <w:snapToGrid w:val="0"/>
                    <w:spacing w:line="240" w:lineRule="auto"/>
                    <w:ind w:firstLine="0" w:firstLineChars="0"/>
                    <w:jc w:val="center"/>
                    <w:textAlignment w:val="center"/>
                    <w:rPr>
                      <w:rFonts w:hint="default" w:eastAsia="宋体"/>
                      <w:kern w:val="0"/>
                      <w:sz w:val="21"/>
                      <w:szCs w:val="21"/>
                      <w:lang w:val="en-US" w:eastAsia="zh-CN"/>
                    </w:rPr>
                  </w:pPr>
                  <w:r>
                    <w:rPr>
                      <w:rFonts w:hint="eastAsia"/>
                      <w:kern w:val="0"/>
                      <w:sz w:val="21"/>
                      <w:szCs w:val="21"/>
                      <w:lang w:val="en-US" w:eastAsia="zh-CN"/>
                    </w:rPr>
                    <w:t>28.445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3FB6F">
                  <w:pPr>
                    <w:widowControl/>
                    <w:adjustRightInd w:val="0"/>
                    <w:snapToGrid w:val="0"/>
                    <w:spacing w:line="240" w:lineRule="auto"/>
                    <w:ind w:firstLine="0" w:firstLineChars="0"/>
                    <w:jc w:val="center"/>
                    <w:textAlignment w:val="center"/>
                    <w:rPr>
                      <w:rFonts w:hint="eastAsia"/>
                      <w:kern w:val="0"/>
                      <w:sz w:val="21"/>
                      <w:szCs w:val="21"/>
                    </w:rPr>
                  </w:pPr>
                </w:p>
              </w:tc>
            </w:tr>
          </w:tbl>
          <w:p w14:paraId="1BC88FF5">
            <w:pPr>
              <w:adjustRightInd w:val="0"/>
              <w:snapToGrid w:val="0"/>
              <w:spacing w:line="300" w:lineRule="auto"/>
              <w:ind w:left="0" w:leftChars="0" w:firstLine="0" w:firstLineChars="0"/>
            </w:pPr>
          </w:p>
          <w:p w14:paraId="3501CC8D">
            <w:pPr>
              <w:adjustRightInd w:val="0"/>
              <w:snapToGrid w:val="0"/>
              <w:spacing w:line="300" w:lineRule="auto"/>
              <w:ind w:firstLine="480" w:firstLineChars="0"/>
              <w:jc w:val="left"/>
              <w:rPr>
                <w:b/>
                <w:bCs/>
                <w:szCs w:val="21"/>
              </w:rPr>
            </w:pPr>
            <w:r>
              <w:t>本项目危险废物主要种类及处置情况见下表。</w:t>
            </w:r>
          </w:p>
          <w:p w14:paraId="579E519D">
            <w:pPr>
              <w:spacing w:line="240" w:lineRule="auto"/>
              <w:ind w:firstLine="0" w:firstLineChars="0"/>
              <w:jc w:val="center"/>
              <w:rPr>
                <w:b/>
                <w:bCs/>
                <w:szCs w:val="21"/>
              </w:rPr>
            </w:pPr>
            <w:r>
              <w:rPr>
                <w:b/>
                <w:bCs/>
                <w:szCs w:val="21"/>
              </w:rPr>
              <w:t>表4-</w:t>
            </w:r>
            <w:r>
              <w:rPr>
                <w:rFonts w:hint="eastAsia"/>
                <w:b/>
                <w:bCs/>
                <w:szCs w:val="21"/>
                <w:lang w:val="en-US" w:eastAsia="zh-CN"/>
              </w:rPr>
              <w:t>14</w:t>
            </w:r>
            <w:r>
              <w:rPr>
                <w:b/>
                <w:bCs/>
                <w:szCs w:val="21"/>
              </w:rPr>
              <w:t xml:space="preserve"> 危险废物产生及处置情况</w:t>
            </w:r>
          </w:p>
          <w:tbl>
            <w:tblPr>
              <w:tblStyle w:val="31"/>
              <w:tblW w:w="8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767"/>
              <w:gridCol w:w="700"/>
              <w:gridCol w:w="717"/>
              <w:gridCol w:w="766"/>
              <w:gridCol w:w="684"/>
              <w:gridCol w:w="680"/>
              <w:gridCol w:w="680"/>
              <w:gridCol w:w="680"/>
              <w:gridCol w:w="680"/>
              <w:gridCol w:w="680"/>
              <w:gridCol w:w="1096"/>
            </w:tblGrid>
            <w:tr w14:paraId="2E785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4AAB">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序 号</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77C3">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危险废物名称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027B">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危险废物类别</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2E12">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废物代码</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6CF7">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产生 量  （</w:t>
                  </w:r>
                  <w:r>
                    <w:rPr>
                      <w:rFonts w:hint="default"/>
                      <w:kern w:val="0"/>
                      <w:sz w:val="21"/>
                      <w:szCs w:val="21"/>
                      <w:lang w:val="en-US" w:eastAsia="zh-CN"/>
                    </w:rPr>
                    <w:t>t/a)</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B5BC">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产生工序</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2A7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形 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17E7">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default"/>
                      <w:kern w:val="0"/>
                      <w:sz w:val="21"/>
                      <w:szCs w:val="21"/>
                      <w:lang w:val="en-US" w:eastAsia="zh-CN"/>
                    </w:rPr>
                    <w:t>主要成分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4F0D">
                  <w:pPr>
                    <w:widowControl/>
                    <w:adjustRightInd w:val="0"/>
                    <w:snapToGrid w:val="0"/>
                    <w:spacing w:line="240" w:lineRule="auto"/>
                    <w:ind w:firstLine="0" w:firstLineChars="0"/>
                    <w:jc w:val="center"/>
                    <w:textAlignment w:val="center"/>
                    <w:rPr>
                      <w:rFonts w:hint="default"/>
                      <w:kern w:val="0"/>
                      <w:sz w:val="21"/>
                      <w:szCs w:val="21"/>
                      <w:lang w:val="en-US" w:eastAsia="zh-CN"/>
                    </w:rPr>
                  </w:pPr>
                  <w:r>
                    <w:rPr>
                      <w:rFonts w:hint="default"/>
                      <w:kern w:val="0"/>
                      <w:sz w:val="21"/>
                      <w:szCs w:val="21"/>
                      <w:lang w:val="en-US" w:eastAsia="zh-CN"/>
                    </w:rPr>
                    <w:t>有害成分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7CD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产废周期</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502E">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危 险 特 性</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AF2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污染防治措施</w:t>
                  </w:r>
                </w:p>
              </w:tc>
            </w:tr>
            <w:tr w14:paraId="71EB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B27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D710">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废机油</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848D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HW08废矿物油与含矿物油废物</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0522">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900-214-08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B7D8">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0.2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1BB4">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设备保养维护</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D5F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液态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E4A2">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矿物油等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A1D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矿物油等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6D8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1个月</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20E">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T,I</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81CA4">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设有危险废物储存间，收集与贮存均按《危险废物贮存污染控制标准》（GB18597-2023）中的有关规定执行，统一交由有资质的危废处理公司处置。</w:t>
                  </w:r>
                </w:p>
              </w:tc>
            </w:tr>
            <w:tr w14:paraId="0AC0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64ED">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BEB5">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废机油桶</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CF57">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CBA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900-214-08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6C43">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0.002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7D4">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设备保养维护</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78EB">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固态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6CDE">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矿物油等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2CDB">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矿物油等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4F1E">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1个月</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EB86">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T,I</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B03AF">
                  <w:pPr>
                    <w:widowControl/>
                    <w:adjustRightInd w:val="0"/>
                    <w:snapToGrid w:val="0"/>
                    <w:spacing w:line="240" w:lineRule="auto"/>
                    <w:ind w:firstLine="0" w:firstLineChars="0"/>
                    <w:jc w:val="center"/>
                    <w:textAlignment w:val="center"/>
                    <w:rPr>
                      <w:rFonts w:hint="eastAsia"/>
                      <w:kern w:val="0"/>
                      <w:sz w:val="21"/>
                      <w:szCs w:val="21"/>
                      <w:lang w:val="en-US" w:eastAsia="zh-CN"/>
                    </w:rPr>
                  </w:pPr>
                </w:p>
              </w:tc>
            </w:tr>
            <w:tr w14:paraId="57EB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D6D4">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F70">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废溶剂桶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FB40">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HW49 其他废物</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C52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900-041-49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C6C9">
                  <w:pPr>
                    <w:widowControl/>
                    <w:adjustRightInd w:val="0"/>
                    <w:snapToGrid w:val="0"/>
                    <w:spacing w:line="240" w:lineRule="auto"/>
                    <w:ind w:firstLine="0" w:firstLineChars="0"/>
                    <w:jc w:val="center"/>
                    <w:textAlignment w:val="center"/>
                    <w:rPr>
                      <w:rFonts w:hint="default"/>
                      <w:kern w:val="0"/>
                      <w:sz w:val="21"/>
                      <w:szCs w:val="21"/>
                      <w:lang w:val="en-US" w:eastAsia="zh-CN"/>
                    </w:rPr>
                  </w:pPr>
                  <w:r>
                    <w:rPr>
                      <w:rFonts w:hint="eastAsia"/>
                      <w:kern w:val="0"/>
                      <w:sz w:val="21"/>
                      <w:szCs w:val="21"/>
                      <w:lang w:val="en-US" w:eastAsia="zh-CN"/>
                    </w:rPr>
                    <w:t>0.02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C59C">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乙二醇单丁醚使用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AA3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固态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8C18">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有机溶剂等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60CA">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有机溶剂等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47A2">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1个月</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91F4">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T,In</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B4DF1">
                  <w:pPr>
                    <w:widowControl/>
                    <w:adjustRightInd w:val="0"/>
                    <w:snapToGrid w:val="0"/>
                    <w:spacing w:line="240" w:lineRule="auto"/>
                    <w:ind w:firstLine="0" w:firstLineChars="0"/>
                    <w:jc w:val="center"/>
                    <w:textAlignment w:val="center"/>
                    <w:rPr>
                      <w:rFonts w:hint="eastAsia"/>
                      <w:kern w:val="0"/>
                      <w:sz w:val="21"/>
                      <w:szCs w:val="21"/>
                      <w:lang w:val="en-US" w:eastAsia="zh-CN"/>
                    </w:rPr>
                  </w:pPr>
                </w:p>
              </w:tc>
            </w:tr>
            <w:tr w14:paraId="11A7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62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6EC5">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废活性炭</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6D34">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HW49 其他废物</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4AD2">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900-039-49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B16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28.445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56E2">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废气处理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020E">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固态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3E4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活性炭、有机废气</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7B5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有机废气</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D11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CD3D">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T</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4D40">
                  <w:pPr>
                    <w:widowControl/>
                    <w:adjustRightInd w:val="0"/>
                    <w:snapToGrid w:val="0"/>
                    <w:spacing w:line="240" w:lineRule="auto"/>
                    <w:ind w:firstLine="0" w:firstLineChars="0"/>
                    <w:jc w:val="center"/>
                    <w:textAlignment w:val="center"/>
                    <w:rPr>
                      <w:rFonts w:hint="eastAsia"/>
                      <w:kern w:val="0"/>
                      <w:sz w:val="21"/>
                      <w:szCs w:val="21"/>
                      <w:lang w:val="en-US" w:eastAsia="zh-CN"/>
                    </w:rPr>
                  </w:pPr>
                </w:p>
              </w:tc>
            </w:tr>
          </w:tbl>
          <w:p w14:paraId="4DA77798">
            <w:pPr>
              <w:spacing w:line="240" w:lineRule="auto"/>
              <w:ind w:firstLine="0" w:firstLineChars="0"/>
              <w:jc w:val="center"/>
              <w:rPr>
                <w:b/>
                <w:bCs/>
                <w:szCs w:val="21"/>
              </w:rPr>
            </w:pPr>
          </w:p>
          <w:p w14:paraId="64C92A84">
            <w:pPr>
              <w:spacing w:line="240" w:lineRule="auto"/>
              <w:ind w:firstLine="0" w:firstLineChars="0"/>
              <w:jc w:val="center"/>
              <w:rPr>
                <w:b/>
                <w:bCs/>
                <w:szCs w:val="21"/>
              </w:rPr>
            </w:pPr>
            <w:r>
              <w:rPr>
                <w:b/>
                <w:bCs/>
                <w:szCs w:val="21"/>
              </w:rPr>
              <w:t>表4-</w:t>
            </w:r>
            <w:r>
              <w:rPr>
                <w:rFonts w:hint="eastAsia"/>
                <w:b/>
                <w:bCs/>
                <w:szCs w:val="21"/>
                <w:lang w:val="en-US" w:eastAsia="zh-CN"/>
              </w:rPr>
              <w:t>15</w:t>
            </w:r>
            <w:r>
              <w:rPr>
                <w:b/>
                <w:bCs/>
                <w:szCs w:val="21"/>
              </w:rPr>
              <w:t>危险废物贮存场所（设施）基本情况</w:t>
            </w:r>
          </w:p>
          <w:tbl>
            <w:tblPr>
              <w:tblStyle w:val="31"/>
              <w:tblW w:w="8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
              <w:gridCol w:w="680"/>
              <w:gridCol w:w="630"/>
              <w:gridCol w:w="895"/>
              <w:gridCol w:w="929"/>
              <w:gridCol w:w="415"/>
              <w:gridCol w:w="714"/>
              <w:gridCol w:w="664"/>
              <w:gridCol w:w="937"/>
              <w:gridCol w:w="539"/>
              <w:gridCol w:w="1601"/>
            </w:tblGrid>
            <w:tr w14:paraId="6709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378D">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序 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A259">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贮存场所名称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51C3">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危险废物名称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F773">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危险废物类别</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18A8">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危险废物代码</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D3C8">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位置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4285">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占地面积m2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6C07">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贮存方式</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E00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default"/>
                      <w:kern w:val="0"/>
                      <w:sz w:val="21"/>
                      <w:szCs w:val="21"/>
                      <w:lang w:val="en-US" w:eastAsia="zh-CN"/>
                    </w:rPr>
                    <w:t>贮存能力t/a</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CDA7">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贮存周期</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F710">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最大暂存量与暂存间面积匹配性</w:t>
                  </w:r>
                </w:p>
              </w:tc>
            </w:tr>
            <w:tr w14:paraId="4E7B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9692">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废机油</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EEDE">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危废暂存间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662E">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废机油</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91ECD">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HW08废矿物油与含矿物油废物</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D3E8">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900-214-08</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60C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厂房西北侧</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C475">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0.8</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AFBD5">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分类收集，地面防渗防漏</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720D">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0.2</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D8DF">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1年</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59B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废机油的产生量为0.2t/a，转运周期为 1年，则最大暂存量为0.2t，废机油密度约0.85g/cm</w:t>
                  </w:r>
                  <w:r>
                    <w:rPr>
                      <w:rFonts w:hint="eastAsia"/>
                      <w:kern w:val="0"/>
                      <w:sz w:val="21"/>
                      <w:szCs w:val="21"/>
                      <w:vertAlign w:val="superscript"/>
                      <w:lang w:val="en-US" w:eastAsia="zh-CN"/>
                    </w:rPr>
                    <w:t>3</w:t>
                  </w:r>
                  <w:r>
                    <w:rPr>
                      <w:rFonts w:hint="eastAsia"/>
                      <w:kern w:val="0"/>
                      <w:sz w:val="21"/>
                      <w:szCs w:val="21"/>
                      <w:lang w:val="en-US" w:eastAsia="zh-CN"/>
                    </w:rPr>
                    <w:t>，则体积约为0.24m</w:t>
                  </w:r>
                  <w:r>
                    <w:rPr>
                      <w:rFonts w:hint="eastAsia"/>
                      <w:kern w:val="0"/>
                      <w:sz w:val="21"/>
                      <w:szCs w:val="21"/>
                      <w:vertAlign w:val="superscript"/>
                      <w:lang w:val="en-US" w:eastAsia="zh-CN"/>
                    </w:rPr>
                    <w:t>3</w:t>
                  </w:r>
                  <w:r>
                    <w:rPr>
                      <w:rFonts w:hint="eastAsia"/>
                      <w:kern w:val="0"/>
                      <w:sz w:val="21"/>
                      <w:szCs w:val="21"/>
                      <w:lang w:val="en-US" w:eastAsia="zh-CN"/>
                    </w:rPr>
                    <w:t xml:space="preserve"> ，项目设置 2 个容量约为0.2m</w:t>
                  </w:r>
                  <w:r>
                    <w:rPr>
                      <w:rFonts w:hint="eastAsia"/>
                      <w:kern w:val="0"/>
                      <w:sz w:val="21"/>
                      <w:szCs w:val="21"/>
                      <w:vertAlign w:val="superscript"/>
                      <w:lang w:val="en-US" w:eastAsia="zh-CN"/>
                    </w:rPr>
                    <w:t>3</w:t>
                  </w:r>
                  <w:r>
                    <w:rPr>
                      <w:rFonts w:hint="eastAsia"/>
                      <w:kern w:val="0"/>
                      <w:sz w:val="21"/>
                      <w:szCs w:val="21"/>
                      <w:lang w:val="en-US" w:eastAsia="zh-CN"/>
                    </w:rPr>
                    <w:t xml:space="preserve"> 的铁桶储存，铁桶高度约为0.5m，则铁桶占地面积约为 0.8m</w:t>
                  </w:r>
                  <w:r>
                    <w:rPr>
                      <w:rFonts w:hint="eastAsia"/>
                      <w:kern w:val="0"/>
                      <w:sz w:val="21"/>
                      <w:szCs w:val="21"/>
                      <w:vertAlign w:val="superscript"/>
                      <w:lang w:val="en-US" w:eastAsia="zh-CN"/>
                    </w:rPr>
                    <w:t>2</w:t>
                  </w:r>
                  <w:r>
                    <w:rPr>
                      <w:rFonts w:hint="eastAsia"/>
                      <w:kern w:val="0"/>
                      <w:sz w:val="21"/>
                      <w:szCs w:val="21"/>
                      <w:lang w:val="en-US" w:eastAsia="zh-CN"/>
                    </w:rPr>
                    <w:t>，则需占危废间的面积约为 0.8m</w:t>
                  </w:r>
                  <w:r>
                    <w:rPr>
                      <w:rFonts w:hint="eastAsia"/>
                      <w:kern w:val="0"/>
                      <w:sz w:val="21"/>
                      <w:szCs w:val="21"/>
                      <w:vertAlign w:val="superscript"/>
                      <w:lang w:val="en-US" w:eastAsia="zh-CN"/>
                    </w:rPr>
                    <w:t>2</w:t>
                  </w:r>
                </w:p>
              </w:tc>
            </w:tr>
            <w:tr w14:paraId="5CF4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74A6">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废机油桶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1D4E">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F86B">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废机油桶</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D8D18">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BED4">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900-214-08</w:t>
                  </w: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E820">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E017">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0.6</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772C7">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DDDB">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0.002</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64E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1年</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A033">
                  <w:pPr>
                    <w:widowControl/>
                    <w:adjustRightInd w:val="0"/>
                    <w:snapToGrid w:val="0"/>
                    <w:spacing w:line="240" w:lineRule="auto"/>
                    <w:ind w:firstLine="0" w:firstLineChars="0"/>
                    <w:jc w:val="left"/>
                    <w:textAlignment w:val="center"/>
                    <w:rPr>
                      <w:rFonts w:hint="eastAsia"/>
                      <w:kern w:val="0"/>
                      <w:sz w:val="21"/>
                      <w:szCs w:val="21"/>
                      <w:lang w:val="en-US" w:eastAsia="zh-CN"/>
                    </w:rPr>
                  </w:pPr>
                  <w:r>
                    <w:rPr>
                      <w:rFonts w:hint="eastAsia"/>
                      <w:kern w:val="0"/>
                      <w:sz w:val="21"/>
                      <w:szCs w:val="21"/>
                      <w:lang w:val="en-US" w:eastAsia="zh-CN"/>
                    </w:rPr>
                    <w:t>废机油的产生量为0.002t/a ，转运周期为 1</w:t>
                  </w:r>
                  <w:r>
                    <w:rPr>
                      <w:rFonts w:hint="eastAsia"/>
                      <w:kern w:val="0"/>
                      <w:sz w:val="21"/>
                      <w:szCs w:val="21"/>
                      <w:lang w:val="en-US" w:eastAsia="zh-CN"/>
                    </w:rPr>
                    <w:br w:type="textWrapping"/>
                  </w:r>
                  <w:r>
                    <w:rPr>
                      <w:rFonts w:hint="eastAsia"/>
                      <w:kern w:val="0"/>
                      <w:sz w:val="21"/>
                      <w:szCs w:val="21"/>
                      <w:lang w:val="en-US" w:eastAsia="zh-CN"/>
                    </w:rPr>
                    <w:t>年，则最大暂存量为0.002t，废机油桶的占地面积约为 0.6m</w:t>
                  </w:r>
                  <w:r>
                    <w:rPr>
                      <w:rFonts w:hint="eastAsia"/>
                      <w:kern w:val="0"/>
                      <w:sz w:val="21"/>
                      <w:szCs w:val="21"/>
                      <w:vertAlign w:val="superscript"/>
                      <w:lang w:val="en-US" w:eastAsia="zh-CN"/>
                    </w:rPr>
                    <w:t>2</w:t>
                  </w:r>
                </w:p>
              </w:tc>
            </w:tr>
            <w:tr w14:paraId="5B7C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A364">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废溶剂桶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8497">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278C">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废溶剂桶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6E57">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HW49 其他废物</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A248">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900-041-49</w:t>
                  </w: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3CCA">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ECE8">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23AE1">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46FB">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0.02</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B0B9">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1年</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950E">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项目年产生废溶剂桶0.02t，转运周期为</w:t>
                  </w:r>
                  <w:r>
                    <w:rPr>
                      <w:rFonts w:hint="eastAsia"/>
                      <w:kern w:val="0"/>
                      <w:sz w:val="21"/>
                      <w:szCs w:val="21"/>
                      <w:lang w:val="en-US" w:eastAsia="zh-CN"/>
                    </w:rPr>
                    <w:br w:type="textWrapping"/>
                  </w:r>
                  <w:r>
                    <w:rPr>
                      <w:rFonts w:hint="eastAsia"/>
                      <w:kern w:val="0"/>
                      <w:sz w:val="21"/>
                      <w:szCs w:val="21"/>
                      <w:lang w:val="en-US" w:eastAsia="zh-CN"/>
                    </w:rPr>
                    <w:t>1年，废溶剂桶每个重约5kg，则废溶剂桶最大暂存量约4个，溶剂空桶直径为 0.5m ，高度为1m，则单个废溶剂空桶占地面积约为0.25m</w:t>
                  </w:r>
                  <w:r>
                    <w:rPr>
                      <w:rFonts w:hint="eastAsia"/>
                      <w:kern w:val="0"/>
                      <w:sz w:val="21"/>
                      <w:szCs w:val="21"/>
                      <w:vertAlign w:val="superscript"/>
                      <w:lang w:val="en-US" w:eastAsia="zh-CN"/>
                    </w:rPr>
                    <w:t>2</w:t>
                  </w:r>
                  <w:r>
                    <w:rPr>
                      <w:rFonts w:hint="eastAsia"/>
                      <w:kern w:val="0"/>
                      <w:sz w:val="21"/>
                      <w:szCs w:val="21"/>
                      <w:lang w:val="en-US" w:eastAsia="zh-CN"/>
                    </w:rPr>
                    <w:t>，堆放1层，则需占危废间的面积约为 1m</w:t>
                  </w:r>
                  <w:r>
                    <w:rPr>
                      <w:rFonts w:hint="eastAsia"/>
                      <w:kern w:val="0"/>
                      <w:sz w:val="21"/>
                      <w:szCs w:val="21"/>
                      <w:vertAlign w:val="superscript"/>
                      <w:lang w:val="en-US" w:eastAsia="zh-CN"/>
                    </w:rPr>
                    <w:t>2</w:t>
                  </w:r>
                  <w:r>
                    <w:rPr>
                      <w:rFonts w:hint="eastAsia"/>
                      <w:kern w:val="0"/>
                      <w:sz w:val="21"/>
                      <w:szCs w:val="21"/>
                      <w:lang w:val="en-US" w:eastAsia="zh-CN"/>
                    </w:rPr>
                    <w:t>。</w:t>
                  </w:r>
                </w:p>
              </w:tc>
            </w:tr>
            <w:tr w14:paraId="3FFF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09A5">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废活性炭</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F2D0">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4E06">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废活性炭</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A9D1">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HW49 其他废物</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3979">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900-039-49</w:t>
                  </w: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8BDB">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4CEE">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12</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C8D9">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70DA">
                  <w:pPr>
                    <w:widowControl/>
                    <w:adjustRightInd w:val="0"/>
                    <w:snapToGrid w:val="0"/>
                    <w:spacing w:line="240" w:lineRule="auto"/>
                    <w:ind w:firstLine="0" w:firstLineChars="0"/>
                    <w:jc w:val="center"/>
                    <w:textAlignment w:val="center"/>
                    <w:rPr>
                      <w:rFonts w:hint="default"/>
                      <w:kern w:val="0"/>
                      <w:sz w:val="21"/>
                      <w:szCs w:val="21"/>
                      <w:lang w:val="en-US" w:eastAsia="zh-CN"/>
                    </w:rPr>
                  </w:pPr>
                  <w:r>
                    <w:rPr>
                      <w:rFonts w:hint="eastAsia"/>
                      <w:kern w:val="0"/>
                      <w:sz w:val="21"/>
                      <w:szCs w:val="21"/>
                      <w:lang w:val="en-US" w:eastAsia="zh-CN"/>
                    </w:rPr>
                    <w:t>4.741</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B97F">
                  <w:pPr>
                    <w:widowControl/>
                    <w:adjustRightInd w:val="0"/>
                    <w:snapToGrid w:val="0"/>
                    <w:spacing w:line="240" w:lineRule="auto"/>
                    <w:ind w:firstLine="0" w:firstLineChars="0"/>
                    <w:jc w:val="center"/>
                    <w:textAlignment w:val="center"/>
                    <w:rPr>
                      <w:rFonts w:hint="eastAsia"/>
                      <w:kern w:val="0"/>
                      <w:sz w:val="21"/>
                      <w:szCs w:val="21"/>
                      <w:lang w:val="en-US" w:eastAsia="zh-CN"/>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7166">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废气处理设施的二级活性炭更换频次6次，活性炭更换后当天回运走，则最大暂存量约为4.741t，废活性炭密度约0.6g/cm</w:t>
                  </w:r>
                  <w:r>
                    <w:rPr>
                      <w:rFonts w:hint="eastAsia"/>
                      <w:kern w:val="0"/>
                      <w:sz w:val="21"/>
                      <w:szCs w:val="21"/>
                      <w:vertAlign w:val="superscript"/>
                      <w:lang w:val="en-US" w:eastAsia="zh-CN"/>
                    </w:rPr>
                    <w:t>3</w:t>
                  </w:r>
                  <w:r>
                    <w:rPr>
                      <w:rFonts w:hint="eastAsia"/>
                      <w:kern w:val="0"/>
                      <w:sz w:val="21"/>
                      <w:szCs w:val="21"/>
                      <w:lang w:val="en-US" w:eastAsia="zh-CN"/>
                    </w:rPr>
                    <w:t>，则体积为7.901m</w:t>
                  </w:r>
                  <w:r>
                    <w:rPr>
                      <w:rFonts w:hint="eastAsia"/>
                      <w:kern w:val="0"/>
                      <w:sz w:val="21"/>
                      <w:szCs w:val="21"/>
                      <w:vertAlign w:val="superscript"/>
                      <w:lang w:val="en-US" w:eastAsia="zh-CN"/>
                    </w:rPr>
                    <w:t>3</w:t>
                  </w:r>
                  <w:r>
                    <w:rPr>
                      <w:rFonts w:hint="eastAsia"/>
                      <w:kern w:val="0"/>
                      <w:sz w:val="21"/>
                      <w:szCs w:val="21"/>
                      <w:lang w:val="en-US" w:eastAsia="zh-CN"/>
                    </w:rPr>
                    <w:t xml:space="preserve"> ，项目设置12个容量约为φ1m*H1.2m 的铁桶储存，铁桶高度约为 1.2m，堆放2层，填充系数约0.8，则堆放高度为2.4m，则需占危废间的面积约为 12m</w:t>
                  </w:r>
                  <w:r>
                    <w:rPr>
                      <w:rFonts w:hint="eastAsia"/>
                      <w:kern w:val="0"/>
                      <w:sz w:val="21"/>
                      <w:szCs w:val="21"/>
                      <w:vertAlign w:val="superscript"/>
                      <w:lang w:val="en-US" w:eastAsia="zh-CN"/>
                    </w:rPr>
                    <w:t>2</w:t>
                  </w:r>
                  <w:r>
                    <w:rPr>
                      <w:rFonts w:hint="eastAsia"/>
                      <w:kern w:val="0"/>
                      <w:sz w:val="21"/>
                      <w:szCs w:val="21"/>
                      <w:lang w:val="en-US" w:eastAsia="zh-CN"/>
                    </w:rPr>
                    <w:t>。</w:t>
                  </w:r>
                </w:p>
              </w:tc>
            </w:tr>
            <w:tr w14:paraId="23A9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D1DD">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合计</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B5E4">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14.8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2E98">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A433">
                  <w:pPr>
                    <w:widowControl/>
                    <w:adjustRightInd w:val="0"/>
                    <w:snapToGrid w:val="0"/>
                    <w:spacing w:line="240" w:lineRule="auto"/>
                    <w:ind w:firstLine="0" w:firstLineChars="0"/>
                    <w:jc w:val="center"/>
                    <w:textAlignment w:val="center"/>
                    <w:rPr>
                      <w:rFonts w:hint="default"/>
                      <w:kern w:val="0"/>
                      <w:sz w:val="21"/>
                      <w:szCs w:val="21"/>
                      <w:lang w:val="en-US" w:eastAsia="zh-CN"/>
                    </w:rPr>
                  </w:pPr>
                  <w:r>
                    <w:rPr>
                      <w:rFonts w:hint="eastAsia"/>
                      <w:kern w:val="0"/>
                      <w:sz w:val="21"/>
                      <w:szCs w:val="21"/>
                      <w:lang w:val="en-US" w:eastAsia="zh-CN"/>
                    </w:rPr>
                    <w:t>5.263</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C3A2">
                  <w:pPr>
                    <w:widowControl/>
                    <w:adjustRightInd w:val="0"/>
                    <w:snapToGrid w:val="0"/>
                    <w:spacing w:line="240" w:lineRule="auto"/>
                    <w:ind w:firstLine="0" w:firstLineChars="0"/>
                    <w:jc w:val="center"/>
                    <w:textAlignment w:val="center"/>
                    <w:rPr>
                      <w:rFonts w:hint="eastAsia"/>
                      <w:kern w:val="0"/>
                      <w:sz w:val="21"/>
                      <w:szCs w:val="21"/>
                      <w:lang w:val="en-US" w:eastAsia="zh-CN"/>
                    </w:rPr>
                  </w:pPr>
                  <w:r>
                    <w:rPr>
                      <w:rFonts w:hint="eastAsia"/>
                      <w:kern w:val="0"/>
                      <w:sz w:val="21"/>
                      <w:szCs w:val="21"/>
                      <w:lang w:val="en-US" w:eastAsia="zh-CN"/>
                    </w:rPr>
                    <w:t>/</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6CD1">
                  <w:pPr>
                    <w:widowControl/>
                    <w:adjustRightInd w:val="0"/>
                    <w:snapToGrid w:val="0"/>
                    <w:spacing w:line="240" w:lineRule="auto"/>
                    <w:ind w:firstLine="0" w:firstLineChars="0"/>
                    <w:jc w:val="center"/>
                    <w:textAlignment w:val="center"/>
                    <w:rPr>
                      <w:rFonts w:hint="default"/>
                      <w:kern w:val="0"/>
                      <w:sz w:val="21"/>
                      <w:szCs w:val="21"/>
                      <w:lang w:val="en-US" w:eastAsia="zh-CN"/>
                    </w:rPr>
                  </w:pPr>
                  <w:r>
                    <w:rPr>
                      <w:rFonts w:hint="eastAsia"/>
                      <w:kern w:val="0"/>
                      <w:sz w:val="21"/>
                      <w:szCs w:val="21"/>
                      <w:lang w:val="en-US" w:eastAsia="zh-CN"/>
                    </w:rPr>
                    <w:t>项目设置面积为20m</w:t>
                  </w:r>
                  <w:r>
                    <w:rPr>
                      <w:rFonts w:hint="eastAsia"/>
                      <w:kern w:val="0"/>
                      <w:sz w:val="21"/>
                      <w:szCs w:val="21"/>
                      <w:vertAlign w:val="superscript"/>
                      <w:lang w:val="en-US" w:eastAsia="zh-CN"/>
                    </w:rPr>
                    <w:t>2</w:t>
                  </w:r>
                  <w:r>
                    <w:rPr>
                      <w:rFonts w:hint="eastAsia"/>
                      <w:kern w:val="0"/>
                      <w:sz w:val="21"/>
                      <w:szCs w:val="21"/>
                      <w:lang w:val="en-US" w:eastAsia="zh-CN"/>
                    </w:rPr>
                    <w:t>的危废暂存间，可满足本项目最大危废暂存量所需空间。</w:t>
                  </w:r>
                </w:p>
              </w:tc>
            </w:tr>
          </w:tbl>
          <w:p w14:paraId="511AD2BF">
            <w:pPr>
              <w:adjustRightInd w:val="0"/>
              <w:snapToGrid w:val="0"/>
              <w:spacing w:line="300" w:lineRule="auto"/>
              <w:ind w:firstLine="482"/>
              <w:rPr>
                <w:b/>
                <w:bCs/>
                <w:szCs w:val="32"/>
              </w:rPr>
            </w:pPr>
            <w:r>
              <w:rPr>
                <w:b/>
                <w:bCs/>
                <w:szCs w:val="32"/>
              </w:rPr>
              <w:t>4、固体废物环境管理要求</w:t>
            </w:r>
          </w:p>
          <w:p w14:paraId="0C32EDEA">
            <w:pPr>
              <w:adjustRightInd w:val="0"/>
              <w:snapToGrid w:val="0"/>
              <w:spacing w:line="300" w:lineRule="auto"/>
              <w:ind w:firstLine="482"/>
              <w:rPr>
                <w:b/>
                <w:bCs/>
                <w:szCs w:val="32"/>
              </w:rPr>
            </w:pPr>
            <w:r>
              <w:rPr>
                <w:b/>
                <w:bCs/>
                <w:szCs w:val="32"/>
              </w:rPr>
              <w:t>（1）生活垃圾</w:t>
            </w:r>
          </w:p>
          <w:p w14:paraId="5C255428">
            <w:pPr>
              <w:adjustRightInd w:val="0"/>
              <w:snapToGrid w:val="0"/>
              <w:spacing w:line="300" w:lineRule="auto"/>
              <w:ind w:firstLine="480"/>
            </w:pPr>
            <w:bookmarkStart w:id="23" w:name="OLE_LINK24"/>
            <w:r>
              <w:t>本项目运营期生活垃圾主要包括普通生活垃圾、果皮果核、废纸塑料、包装材料、草木类等。对于纸张、塑料、金属等可回收的垃圾分别放置，给以明确标识。生活垃圾集中收集后每日交由环卫部门进行清运处理，对环境影响较小。</w:t>
            </w:r>
            <w:bookmarkEnd w:id="23"/>
          </w:p>
          <w:p w14:paraId="23131728">
            <w:pPr>
              <w:ind w:firstLine="480"/>
              <w:rPr>
                <w:rFonts w:hint="eastAsia"/>
                <w:b/>
                <w:bCs/>
              </w:rPr>
            </w:pPr>
            <w:r>
              <w:rPr>
                <w:rFonts w:hint="eastAsia"/>
                <w:b/>
                <w:bCs/>
              </w:rPr>
              <w:t>（</w:t>
            </w:r>
            <w:r>
              <w:rPr>
                <w:rFonts w:hint="eastAsia"/>
                <w:b/>
                <w:bCs/>
                <w:lang w:val="en-US" w:eastAsia="zh-CN"/>
              </w:rPr>
              <w:t>2</w:t>
            </w:r>
            <w:r>
              <w:rPr>
                <w:rFonts w:hint="eastAsia"/>
                <w:b/>
                <w:bCs/>
              </w:rPr>
              <w:t>）一般工业固体废物的贮存和管理</w:t>
            </w:r>
          </w:p>
          <w:p w14:paraId="1422E948">
            <w:pPr>
              <w:ind w:firstLine="480"/>
              <w:rPr>
                <w:rFonts w:hint="eastAsia"/>
              </w:rPr>
            </w:pPr>
            <w:r>
              <w:rPr>
                <w:rFonts w:hint="eastAsia"/>
              </w:rPr>
              <w:t>根据国家《一般工业固体废物贮存和填埋污染控制标准》（GB18599-2020）中的要求，一般工业固体废物的贮存和管理应做到：</w:t>
            </w:r>
          </w:p>
          <w:p w14:paraId="63DB1DA0">
            <w:pPr>
              <w:ind w:firstLine="480"/>
              <w:rPr>
                <w:rFonts w:hint="eastAsia"/>
              </w:rPr>
            </w:pPr>
            <w:r>
              <w:rPr>
                <w:rFonts w:hint="eastAsia"/>
              </w:rPr>
              <w:t>①一般工业固体废物应按 Ⅰ类和Ⅱ类废物分别储存，建立分类收集房。不 允许将危险废物和生活垃圾混入。</w:t>
            </w:r>
          </w:p>
          <w:p w14:paraId="3CB05C5A">
            <w:pPr>
              <w:ind w:firstLine="480"/>
              <w:rPr>
                <w:rFonts w:hint="eastAsia"/>
              </w:rPr>
            </w:pPr>
            <w:r>
              <w:rPr>
                <w:rFonts w:hint="eastAsia"/>
              </w:rPr>
              <w:t>②尽量将可利用的一般工业固体废物回收、利用。</w:t>
            </w:r>
          </w:p>
          <w:p w14:paraId="14D8AA15">
            <w:pPr>
              <w:ind w:firstLine="480"/>
              <w:rPr>
                <w:rFonts w:hint="eastAsia"/>
              </w:rPr>
            </w:pPr>
            <w:r>
              <w:rPr>
                <w:rFonts w:hint="eastAsia"/>
              </w:rPr>
              <w:t>③临时储存地点必须建有雨棚，不允许露天堆放，以防止雨水冲刷，雨水 应通过场地四周导流渠流向雨水排放管；临时堆放场地为水泥铺设地面，以防渗漏。</w:t>
            </w:r>
          </w:p>
          <w:p w14:paraId="1D9EB7FA">
            <w:pPr>
              <w:ind w:firstLine="480"/>
              <w:rPr>
                <w:rFonts w:hint="eastAsia"/>
              </w:rPr>
            </w:pPr>
            <w:r>
              <w:rPr>
                <w:rFonts w:hint="eastAsia"/>
              </w:rPr>
              <w:t>④为加强管理监督，贮存、处置场所地应按《环境保护图形标志－固体废物贮存（处置）场所》（GB15562.2-1995）设置环境保护图形标志。</w:t>
            </w:r>
          </w:p>
          <w:p w14:paraId="79D2A9A9">
            <w:pPr>
              <w:ind w:firstLine="480"/>
            </w:pPr>
            <w:r>
              <w:rPr>
                <w:rFonts w:hint="eastAsia"/>
              </w:rPr>
              <w:t>⑤根据《一般工业固体废物管理台账制定指南（试行）》，本项目一般固体废物台账保存5年以上。</w:t>
            </w:r>
          </w:p>
          <w:p w14:paraId="3EC0916A">
            <w:pPr>
              <w:numPr>
                <w:ilvl w:val="0"/>
                <w:numId w:val="6"/>
              </w:numPr>
              <w:adjustRightInd w:val="0"/>
              <w:snapToGrid w:val="0"/>
              <w:spacing w:line="360" w:lineRule="auto"/>
              <w:ind w:firstLine="482"/>
              <w:rPr>
                <w:b/>
                <w:bCs/>
                <w:szCs w:val="32"/>
              </w:rPr>
            </w:pPr>
            <w:r>
              <w:rPr>
                <w:b/>
                <w:bCs/>
                <w:szCs w:val="32"/>
              </w:rPr>
              <w:t>危险废物</w:t>
            </w:r>
          </w:p>
          <w:p w14:paraId="0F150231">
            <w:pPr>
              <w:adjustRightInd w:val="0"/>
              <w:snapToGrid w:val="0"/>
              <w:spacing w:line="360" w:lineRule="auto"/>
              <w:ind w:firstLine="480" w:firstLineChars="0"/>
              <w:rPr>
                <w:szCs w:val="32"/>
              </w:rPr>
            </w:pPr>
            <w:r>
              <w:rPr>
                <w:szCs w:val="32"/>
              </w:rPr>
              <w:t>危险废物暂存间应严格按照《危险废物贮存污染控制标准》（GB18597-2023）、《危险废物识别标志设置技术规范》（HJ 1276-2022）等的要求建设。危险废物贮存场所、贮存容器需满足《危险废物贮存污染控制标准》（GB18597-2023）要求：危险废物贮存容器和包装物材质、内衬应与盛装的危险废物相容；针对不同类别、形态、物理化学性质的危险废物，其容器和包装物应满足相应的防渗、防漏、防腐和强度等要求；硬质容器和包装物及其支护结构堆叠码放时不应有明显变形，无破损泄漏；柔性容器和包装物堆叠码放时应封口严密，无破损泄漏；应定期检查危险废物的贮存状况，及时清理贮存设施地面，更换破损泄漏的危险废物贮存容器和包装物，保证堆存危险废物的防雨、防风、防扬尘等设施功能完好。根据《广东省危险废物产生单位危险废物规范化管理工作实施方案》，企业须根据管理台账和近年生产计划，制订危险废物管理计划，并报当地环保部门备案。台帐应如实记载产生危险废物的种类、数量、利用、贮存、处置、流向等信息，以此作为向当地环保部门申报危险废物管理计划的编制依据。产生的危险废物实行分类收集后置于贮存设施内，贮存时限一般不得超过一年，并设专人管理。盛装危险废物的容器和包装物以及产生、收集、贮存、运输、处置危险废物的场所，必须依法设置相应标识、警示标志和标签，标签上应注明贮存的废物类别、危害性以及开始贮存时间等内容。企业必须严格执行危险废物转移计划报批和依法做好危险废物转移联单，并通过信息系统登记转移计划和电子转移联单，完善危险废物相关档案管理制度。</w:t>
            </w:r>
          </w:p>
          <w:p w14:paraId="02CB9EFA">
            <w:pPr>
              <w:adjustRightInd w:val="0"/>
              <w:snapToGrid w:val="0"/>
              <w:spacing w:line="360" w:lineRule="auto"/>
              <w:ind w:firstLine="482"/>
              <w:rPr>
                <w:b/>
                <w:bCs/>
                <w:szCs w:val="32"/>
              </w:rPr>
            </w:pPr>
            <w:r>
              <w:rPr>
                <w:b/>
                <w:bCs/>
                <w:szCs w:val="32"/>
              </w:rPr>
              <w:t>五、地下水、土壤环境</w:t>
            </w:r>
          </w:p>
          <w:p w14:paraId="049F2711">
            <w:pPr>
              <w:adjustRightInd w:val="0"/>
              <w:snapToGrid w:val="0"/>
              <w:spacing w:line="360" w:lineRule="auto"/>
              <w:ind w:firstLine="480"/>
              <w:rPr>
                <w:rFonts w:hint="eastAsia"/>
                <w:b/>
                <w:bCs/>
                <w:kern w:val="0"/>
                <w:szCs w:val="22"/>
              </w:rPr>
            </w:pPr>
            <w:r>
              <w:rPr>
                <w:rFonts w:hint="eastAsia"/>
                <w:b/>
                <w:bCs/>
                <w:kern w:val="0"/>
                <w:szCs w:val="22"/>
                <w:lang w:eastAsia="zh-CN"/>
              </w:rPr>
              <w:t>（</w:t>
            </w:r>
            <w:r>
              <w:rPr>
                <w:rFonts w:hint="eastAsia"/>
                <w:b/>
                <w:bCs/>
                <w:kern w:val="0"/>
                <w:szCs w:val="22"/>
                <w:lang w:val="en-US" w:eastAsia="zh-CN"/>
              </w:rPr>
              <w:t>1</w:t>
            </w:r>
            <w:r>
              <w:rPr>
                <w:rFonts w:hint="eastAsia"/>
                <w:b/>
                <w:bCs/>
                <w:kern w:val="0"/>
                <w:szCs w:val="22"/>
                <w:lang w:eastAsia="zh-CN"/>
              </w:rPr>
              <w:t>）</w:t>
            </w:r>
            <w:r>
              <w:rPr>
                <w:rFonts w:hint="eastAsia"/>
                <w:b/>
                <w:bCs/>
                <w:kern w:val="0"/>
                <w:szCs w:val="22"/>
              </w:rPr>
              <w:t>本项目对地下水、土壤可能造成污染的途径</w:t>
            </w:r>
          </w:p>
          <w:p w14:paraId="715AFE68">
            <w:pPr>
              <w:adjustRightInd w:val="0"/>
              <w:snapToGrid w:val="0"/>
              <w:spacing w:line="360" w:lineRule="auto"/>
              <w:ind w:firstLine="480"/>
              <w:rPr>
                <w:rFonts w:hint="eastAsia"/>
                <w:kern w:val="0"/>
                <w:szCs w:val="22"/>
              </w:rPr>
            </w:pPr>
            <w:r>
              <w:rPr>
                <w:rFonts w:hint="eastAsia"/>
                <w:kern w:val="0"/>
                <w:szCs w:val="22"/>
              </w:rPr>
              <w:t>项目正常运营情况下，不会对地下水、土壤造成污染。但在非正常情况下可能会造成影响的途径如下：</w:t>
            </w:r>
          </w:p>
          <w:p w14:paraId="7019BAA0">
            <w:pPr>
              <w:adjustRightInd w:val="0"/>
              <w:snapToGrid w:val="0"/>
              <w:spacing w:line="360" w:lineRule="auto"/>
              <w:ind w:firstLine="480"/>
              <w:rPr>
                <w:rFonts w:hint="eastAsia"/>
                <w:kern w:val="0"/>
                <w:szCs w:val="22"/>
              </w:rPr>
            </w:pPr>
            <w:r>
              <w:rPr>
                <w:rFonts w:hint="eastAsia"/>
                <w:kern w:val="0"/>
                <w:szCs w:val="22"/>
              </w:rPr>
              <w:t>①三级化粪池、污水管道等泄漏，污水下渗对地下水及土壤造成污染，由于项目三级化粪池等地面均做硬化处理，运营后定期进行检修，因此对地下水和土壤污染的可能性极少。</w:t>
            </w:r>
          </w:p>
          <w:p w14:paraId="74B2D58B">
            <w:pPr>
              <w:adjustRightInd w:val="0"/>
              <w:snapToGrid w:val="0"/>
              <w:spacing w:line="360" w:lineRule="auto"/>
              <w:ind w:firstLine="480"/>
              <w:rPr>
                <w:rFonts w:hint="eastAsia"/>
                <w:kern w:val="0"/>
                <w:szCs w:val="22"/>
              </w:rPr>
            </w:pPr>
            <w:r>
              <w:rPr>
                <w:rFonts w:hint="eastAsia"/>
                <w:kern w:val="0"/>
                <w:szCs w:val="22"/>
              </w:rPr>
              <w:t>②生活垃圾经雨水淋滤后，可产生 CL-、SO</w:t>
            </w:r>
            <w:r>
              <w:rPr>
                <w:rFonts w:hint="eastAsia"/>
                <w:kern w:val="0"/>
                <w:szCs w:val="22"/>
                <w:vertAlign w:val="subscript"/>
              </w:rPr>
              <w:t>4</w:t>
            </w:r>
            <w:r>
              <w:rPr>
                <w:rFonts w:hint="eastAsia"/>
                <w:kern w:val="0"/>
                <w:szCs w:val="22"/>
                <w:vertAlign w:val="superscript"/>
              </w:rPr>
              <w:t>2</w:t>
            </w:r>
            <w:r>
              <w:rPr>
                <w:rFonts w:hint="eastAsia"/>
                <w:kern w:val="0"/>
                <w:szCs w:val="22"/>
              </w:rPr>
              <w:t>-、NH</w:t>
            </w:r>
            <w:r>
              <w:rPr>
                <w:rFonts w:hint="eastAsia"/>
                <w:kern w:val="0"/>
                <w:szCs w:val="22"/>
                <w:vertAlign w:val="superscript"/>
              </w:rPr>
              <w:t>4+</w:t>
            </w:r>
            <w:r>
              <w:rPr>
                <w:rFonts w:hint="eastAsia"/>
                <w:kern w:val="0"/>
                <w:szCs w:val="22"/>
              </w:rPr>
              <w:t>、BOD</w:t>
            </w:r>
            <w:r>
              <w:rPr>
                <w:rFonts w:hint="eastAsia"/>
                <w:kern w:val="0"/>
                <w:szCs w:val="22"/>
                <w:vertAlign w:val="subscript"/>
              </w:rPr>
              <w:t>5</w:t>
            </w:r>
            <w:r>
              <w:rPr>
                <w:rFonts w:hint="eastAsia"/>
                <w:kern w:val="0"/>
                <w:szCs w:val="22"/>
              </w:rPr>
              <w:t>、TOC和 SS 含量高的淋滤液下渗污染地下水，但由于生活垃圾每日清运，雨水淋滤液浓度较低，因此对地下水及土壤污染的可能性极小。</w:t>
            </w:r>
          </w:p>
          <w:p w14:paraId="6CEEA189">
            <w:pPr>
              <w:adjustRightInd w:val="0"/>
              <w:snapToGrid w:val="0"/>
              <w:spacing w:line="360" w:lineRule="auto"/>
              <w:ind w:firstLine="480"/>
              <w:rPr>
                <w:rFonts w:hint="eastAsia"/>
                <w:kern w:val="0"/>
                <w:szCs w:val="22"/>
              </w:rPr>
            </w:pPr>
            <w:r>
              <w:rPr>
                <w:rFonts w:hint="eastAsia"/>
                <w:kern w:val="0"/>
                <w:szCs w:val="22"/>
              </w:rPr>
              <w:t>③项目</w:t>
            </w:r>
            <w:r>
              <w:rPr>
                <w:rFonts w:hint="eastAsia"/>
                <w:kern w:val="0"/>
                <w:szCs w:val="22"/>
                <w:lang w:val="en-US" w:eastAsia="zh-CN"/>
              </w:rPr>
              <w:t>液体原辅料、</w:t>
            </w:r>
            <w:r>
              <w:rPr>
                <w:rFonts w:hint="eastAsia"/>
                <w:kern w:val="0"/>
                <w:szCs w:val="22"/>
              </w:rPr>
              <w:t>废机油、废</w:t>
            </w:r>
            <w:r>
              <w:rPr>
                <w:rFonts w:hint="eastAsia"/>
                <w:kern w:val="0"/>
                <w:szCs w:val="22"/>
                <w:lang w:val="en-US" w:eastAsia="zh-CN"/>
              </w:rPr>
              <w:t>活性炭</w:t>
            </w:r>
            <w:r>
              <w:rPr>
                <w:rFonts w:hint="eastAsia"/>
                <w:kern w:val="0"/>
                <w:szCs w:val="22"/>
              </w:rPr>
              <w:t>等存放</w:t>
            </w:r>
            <w:r>
              <w:rPr>
                <w:rFonts w:hint="eastAsia"/>
                <w:kern w:val="0"/>
                <w:szCs w:val="22"/>
                <w:lang w:val="en-US" w:eastAsia="zh-CN"/>
              </w:rPr>
              <w:t>和使用</w:t>
            </w:r>
            <w:r>
              <w:rPr>
                <w:rFonts w:hint="eastAsia"/>
                <w:kern w:val="0"/>
                <w:szCs w:val="22"/>
              </w:rPr>
              <w:t>过程，操作不当或者包装桶破损，会发生泄露事故，可能通过雨水沟渠排入附近水体影响水体环境，地面无防渗措施的有可能渗入地下土壤环境。土壤层被污染后严重时不仅会造成植物生物的死亡，而且还会随着地表水的下渗对土壤层的冲刷作用下补充到地下水。</w:t>
            </w:r>
          </w:p>
          <w:p w14:paraId="6381E2FB">
            <w:pPr>
              <w:adjustRightInd w:val="0"/>
              <w:snapToGrid w:val="0"/>
              <w:spacing w:line="360" w:lineRule="auto"/>
              <w:ind w:firstLine="480"/>
              <w:rPr>
                <w:b/>
                <w:bCs/>
                <w:kern w:val="0"/>
                <w:szCs w:val="22"/>
              </w:rPr>
            </w:pPr>
            <w:r>
              <w:rPr>
                <w:rFonts w:hint="eastAsia"/>
                <w:b/>
                <w:bCs/>
                <w:kern w:val="0"/>
                <w:szCs w:val="22"/>
                <w:lang w:eastAsia="zh-CN"/>
              </w:rPr>
              <w:t>（</w:t>
            </w:r>
            <w:r>
              <w:rPr>
                <w:rFonts w:hint="eastAsia"/>
                <w:b/>
                <w:bCs/>
                <w:kern w:val="0"/>
                <w:szCs w:val="22"/>
                <w:lang w:val="en-US" w:eastAsia="zh-CN"/>
              </w:rPr>
              <w:t>2</w:t>
            </w:r>
            <w:r>
              <w:rPr>
                <w:rFonts w:hint="eastAsia"/>
                <w:b/>
                <w:bCs/>
                <w:kern w:val="0"/>
                <w:szCs w:val="22"/>
                <w:lang w:eastAsia="zh-CN"/>
              </w:rPr>
              <w:t>）</w:t>
            </w:r>
            <w:r>
              <w:rPr>
                <w:b/>
                <w:bCs/>
                <w:kern w:val="0"/>
                <w:szCs w:val="22"/>
              </w:rPr>
              <w:t>运营期将采取以下措施进行污染防治：</w:t>
            </w:r>
          </w:p>
          <w:p w14:paraId="41BE08F2">
            <w:pPr>
              <w:adjustRightInd w:val="0"/>
              <w:snapToGrid w:val="0"/>
              <w:spacing w:line="360" w:lineRule="auto"/>
              <w:ind w:firstLine="480"/>
              <w:rPr>
                <w:rFonts w:hint="eastAsia"/>
                <w:kern w:val="0"/>
                <w:szCs w:val="22"/>
              </w:rPr>
            </w:pPr>
            <w:r>
              <w:rPr>
                <w:rFonts w:hint="eastAsia"/>
                <w:kern w:val="0"/>
                <w:szCs w:val="22"/>
              </w:rPr>
              <w:t>（1）做好三级化粪池的防渗措施，定期对化粪池、污水管道等进行检查，发现问题及时维修。</w:t>
            </w:r>
          </w:p>
          <w:p w14:paraId="0979F997">
            <w:pPr>
              <w:adjustRightInd w:val="0"/>
              <w:snapToGrid w:val="0"/>
              <w:spacing w:line="360" w:lineRule="auto"/>
              <w:ind w:firstLine="480"/>
              <w:rPr>
                <w:rFonts w:hint="eastAsia"/>
                <w:kern w:val="0"/>
                <w:szCs w:val="22"/>
              </w:rPr>
            </w:pPr>
            <w:r>
              <w:rPr>
                <w:rFonts w:hint="eastAsia"/>
                <w:kern w:val="0"/>
                <w:szCs w:val="22"/>
              </w:rPr>
              <w:t>（2）垃圾桶放置点地面需进行硬化处理，及时与环卫部门沟通清运生活垃圾。</w:t>
            </w:r>
          </w:p>
          <w:p w14:paraId="6D2C46CD">
            <w:pPr>
              <w:adjustRightInd w:val="0"/>
              <w:snapToGrid w:val="0"/>
              <w:spacing w:line="360" w:lineRule="auto"/>
              <w:ind w:firstLine="480"/>
              <w:rPr>
                <w:rFonts w:hint="eastAsia"/>
                <w:kern w:val="0"/>
                <w:szCs w:val="22"/>
              </w:rPr>
            </w:pPr>
            <w:r>
              <w:rPr>
                <w:rFonts w:hint="eastAsia"/>
                <w:kern w:val="0"/>
                <w:szCs w:val="22"/>
              </w:rPr>
              <w:t>（3）危险废物暂存间按要求设置“防风、防雨、防晒、防渗漏 ”措施。按 照《危险废物贮存污染控制标准》（GB18597-2023）的规范要求，做好危险固 体废物的收集、贮存、运输和处置等工作。</w:t>
            </w:r>
          </w:p>
          <w:p w14:paraId="091EFDCF">
            <w:pPr>
              <w:adjustRightInd w:val="0"/>
              <w:snapToGrid w:val="0"/>
              <w:spacing w:line="360" w:lineRule="auto"/>
              <w:ind w:firstLine="480"/>
              <w:rPr>
                <w:kern w:val="0"/>
                <w:szCs w:val="22"/>
              </w:rPr>
            </w:pPr>
            <w:r>
              <w:rPr>
                <w:rFonts w:hint="eastAsia"/>
                <w:kern w:val="0"/>
                <w:szCs w:val="22"/>
              </w:rPr>
              <w:t>（4）建设单位应建立健全的管理机构，制定各项管理制度，加强日常监督 检查，每天都应对废机油等物质存放点进行检查。</w:t>
            </w:r>
          </w:p>
          <w:p w14:paraId="52AF5E93">
            <w:pPr>
              <w:adjustRightInd w:val="0"/>
              <w:snapToGrid w:val="0"/>
              <w:spacing w:line="360" w:lineRule="auto"/>
              <w:ind w:firstLine="480"/>
              <w:rPr>
                <w:rFonts w:hint="eastAsia"/>
                <w:b/>
                <w:bCs/>
              </w:rPr>
            </w:pPr>
            <w:r>
              <w:rPr>
                <w:rFonts w:hint="eastAsia"/>
                <w:b/>
                <w:bCs/>
                <w:lang w:eastAsia="zh-CN"/>
              </w:rPr>
              <w:t>（</w:t>
            </w:r>
            <w:r>
              <w:rPr>
                <w:rFonts w:hint="eastAsia"/>
                <w:b/>
                <w:bCs/>
                <w:lang w:val="en-US" w:eastAsia="zh-CN"/>
              </w:rPr>
              <w:t>3</w:t>
            </w:r>
            <w:r>
              <w:rPr>
                <w:rFonts w:hint="eastAsia"/>
                <w:b/>
                <w:bCs/>
                <w:lang w:eastAsia="zh-CN"/>
              </w:rPr>
              <w:t>）</w:t>
            </w:r>
            <w:r>
              <w:rPr>
                <w:rFonts w:hint="eastAsia"/>
                <w:b/>
                <w:bCs/>
              </w:rPr>
              <w:t>项目对地下水和土壤环境影响分析</w:t>
            </w:r>
          </w:p>
          <w:p w14:paraId="21F5E4F6">
            <w:pPr>
              <w:adjustRightInd w:val="0"/>
              <w:snapToGrid w:val="0"/>
              <w:spacing w:line="360" w:lineRule="auto"/>
              <w:ind w:firstLine="480"/>
            </w:pPr>
            <w:r>
              <w:rPr>
                <w:rFonts w:hint="eastAsia"/>
              </w:rPr>
              <w:t>项目用地范围拟做地面硬化，且化粪池、危废间等均进行了防渗，基本不 会污染地下水及土壤，且本项目所在区域周边地下水和土壤环境较不敏感。综 合以上分析，项目采取相关措施后，对地下水和土壤的污染风险可控，总体影 响不大。</w:t>
            </w:r>
          </w:p>
          <w:p w14:paraId="50EFC1D6">
            <w:pPr>
              <w:adjustRightInd w:val="0"/>
              <w:snapToGrid w:val="0"/>
              <w:spacing w:line="300" w:lineRule="auto"/>
              <w:ind w:firstLine="482"/>
              <w:rPr>
                <w:b/>
                <w:bCs/>
                <w:szCs w:val="32"/>
              </w:rPr>
            </w:pPr>
            <w:r>
              <w:rPr>
                <w:b/>
                <w:bCs/>
                <w:szCs w:val="32"/>
              </w:rPr>
              <w:t>六、生态环境影响防控措施</w:t>
            </w:r>
          </w:p>
          <w:p w14:paraId="72BD75A9">
            <w:pPr>
              <w:kinsoku w:val="0"/>
              <w:adjustRightInd w:val="0"/>
              <w:snapToGrid w:val="0"/>
              <w:spacing w:line="300" w:lineRule="auto"/>
              <w:ind w:firstLine="480"/>
            </w:pPr>
            <w:r>
              <w:t>项目利用现有厂房进行生产，对区域生态影响不大。</w:t>
            </w:r>
          </w:p>
          <w:p w14:paraId="3ED22C07">
            <w:pPr>
              <w:adjustRightInd w:val="0"/>
              <w:snapToGrid w:val="0"/>
              <w:spacing w:line="300" w:lineRule="auto"/>
              <w:ind w:firstLine="482"/>
              <w:rPr>
                <w:b/>
                <w:bCs/>
                <w:szCs w:val="32"/>
              </w:rPr>
            </w:pPr>
            <w:r>
              <w:rPr>
                <w:b/>
                <w:bCs/>
                <w:szCs w:val="32"/>
              </w:rPr>
              <w:t>七、环境风险影响分析</w:t>
            </w:r>
          </w:p>
          <w:p w14:paraId="3A940F17">
            <w:pPr>
              <w:adjustRightInd w:val="0"/>
              <w:snapToGrid w:val="0"/>
              <w:spacing w:line="300" w:lineRule="auto"/>
              <w:ind w:firstLine="480"/>
              <w:rPr>
                <w:lang w:val="zh-CN"/>
              </w:rPr>
            </w:pPr>
            <w:r>
              <w:rPr>
                <w:lang w:val="zh-CN"/>
              </w:rPr>
              <w:t>根据《建设项目环境风险评价技术导则》(HJ169-2018)，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14:paraId="7FEA007A">
            <w:pPr>
              <w:adjustRightInd w:val="0"/>
              <w:snapToGrid w:val="0"/>
              <w:spacing w:line="300" w:lineRule="auto"/>
              <w:ind w:firstLine="482"/>
              <w:rPr>
                <w:b/>
                <w:bCs/>
                <w:szCs w:val="32"/>
              </w:rPr>
            </w:pPr>
            <w:r>
              <w:rPr>
                <w:b/>
                <w:bCs/>
                <w:szCs w:val="32"/>
              </w:rPr>
              <w:t>1、危险物质数量与临界量值（Q）计算</w:t>
            </w:r>
          </w:p>
          <w:p w14:paraId="24C05443">
            <w:pPr>
              <w:spacing w:line="240" w:lineRule="auto"/>
              <w:ind w:firstLine="0" w:firstLineChars="0"/>
              <w:jc w:val="center"/>
              <w:rPr>
                <w:b/>
                <w:bCs/>
                <w:szCs w:val="21"/>
              </w:rPr>
            </w:pPr>
            <w:r>
              <w:rPr>
                <w:b/>
                <w:bCs/>
                <w:szCs w:val="21"/>
              </w:rPr>
              <w:t>表4-</w:t>
            </w:r>
            <w:r>
              <w:rPr>
                <w:rFonts w:hint="eastAsia"/>
                <w:b/>
                <w:bCs/>
                <w:szCs w:val="21"/>
                <w:lang w:val="en-US" w:eastAsia="zh-CN"/>
              </w:rPr>
              <w:t>16</w:t>
            </w:r>
            <w:r>
              <w:rPr>
                <w:b/>
                <w:bCs/>
                <w:szCs w:val="21"/>
              </w:rPr>
              <w:t>危险物质Q值计算</w:t>
            </w:r>
          </w:p>
          <w:tbl>
            <w:tblPr>
              <w:tblStyle w:val="31"/>
              <w:tblW w:w="821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2"/>
              <w:gridCol w:w="1179"/>
              <w:gridCol w:w="1266"/>
              <w:gridCol w:w="1284"/>
              <w:gridCol w:w="1603"/>
              <w:gridCol w:w="962"/>
              <w:gridCol w:w="962"/>
            </w:tblGrid>
            <w:tr w14:paraId="67A2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B852">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序号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567C">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物料名称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4B8">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CAS号</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8620">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危险成分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16B6">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最大存在量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85AB">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临界量Q（t）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CF7F">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q/Q</w:t>
                  </w:r>
                </w:p>
              </w:tc>
            </w:tr>
            <w:tr w14:paraId="09C2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B01C">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8CC1">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废机油</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62AC">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F42D">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矿物油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D5FF">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AC50">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2500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90FA">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0.00008</w:t>
                  </w:r>
                </w:p>
              </w:tc>
            </w:tr>
            <w:tr w14:paraId="1C03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412F">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3798">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工业白油</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CEE9">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8042-47-5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2629">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矿物油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D21F">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523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45C4">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2500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5C32">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0.2092</w:t>
                  </w:r>
                </w:p>
              </w:tc>
            </w:tr>
            <w:tr w14:paraId="6692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AA6E">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D7F2">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乙二醇单丁醚</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629E">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111-76-2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9407">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乙二醇单丁醚</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E44F">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3C9">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500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0799">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0.002</w:t>
                  </w:r>
                </w:p>
              </w:tc>
            </w:tr>
            <w:tr w14:paraId="42E9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225D">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123A">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废机油桶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3999">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B19A9">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健康危险急性毒性物质（类别 2，类别 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02A8">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0.002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AA38">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CBFF">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0.00004</w:t>
                  </w:r>
                </w:p>
              </w:tc>
            </w:tr>
            <w:tr w14:paraId="5D10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DEB3">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2498">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废溶剂桶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0A44">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82CD4">
                  <w:pPr>
                    <w:kinsoku w:val="0"/>
                    <w:overflowPunct w:val="0"/>
                    <w:snapToGrid w:val="0"/>
                    <w:spacing w:line="240" w:lineRule="auto"/>
                    <w:ind w:firstLine="0" w:firstLineChars="0"/>
                    <w:jc w:val="center"/>
                    <w:rPr>
                      <w:rFonts w:hint="eastAsia"/>
                      <w:kern w:val="0"/>
                      <w:sz w:val="21"/>
                      <w:szCs w:val="21"/>
                      <w:lang w:bidi="zh-CN"/>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A6DC">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C41D">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B8BD">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0.0004</w:t>
                  </w:r>
                </w:p>
              </w:tc>
            </w:tr>
            <w:tr w14:paraId="4B1C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1745">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57DB">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废活性炭</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8ED4">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2C237">
                  <w:pPr>
                    <w:kinsoku w:val="0"/>
                    <w:overflowPunct w:val="0"/>
                    <w:snapToGrid w:val="0"/>
                    <w:spacing w:line="240" w:lineRule="auto"/>
                    <w:ind w:firstLine="0" w:firstLineChars="0"/>
                    <w:jc w:val="center"/>
                    <w:rPr>
                      <w:rFonts w:hint="eastAsia"/>
                      <w:kern w:val="0"/>
                      <w:sz w:val="21"/>
                      <w:szCs w:val="21"/>
                      <w:lang w:bidi="zh-CN"/>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F1B8">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4.741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B7BE">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CE4A">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0.09482</w:t>
                  </w:r>
                </w:p>
              </w:tc>
            </w:tr>
            <w:tr w14:paraId="61E7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C634">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0E71">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乳化剂（乙氧基化醇C12-14）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739F">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73138-27-9</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2E822">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危害水环境物质（急性毒性类别1）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BA72">
                  <w:pPr>
                    <w:kinsoku w:val="0"/>
                    <w:overflowPunct w:val="0"/>
                    <w:snapToGrid w:val="0"/>
                    <w:spacing w:line="240" w:lineRule="auto"/>
                    <w:ind w:firstLine="0" w:firstLineChars="0"/>
                    <w:jc w:val="center"/>
                    <w:rPr>
                      <w:rFonts w:hint="default"/>
                      <w:kern w:val="0"/>
                      <w:sz w:val="21"/>
                      <w:szCs w:val="21"/>
                      <w:lang w:bidi="zh-CN"/>
                    </w:rPr>
                  </w:pPr>
                  <w:r>
                    <w:rPr>
                      <w:rFonts w:hint="default"/>
                      <w:kern w:val="0"/>
                      <w:sz w:val="21"/>
                      <w:szCs w:val="21"/>
                      <w:lang w:val="en-US" w:eastAsia="zh-CN" w:bidi="zh-CN"/>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495A">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7342">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0.1</w:t>
                  </w:r>
                </w:p>
              </w:tc>
            </w:tr>
            <w:tr w14:paraId="23DF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7F13">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DFC5">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脂肪醇聚氧乙烯醚</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1316">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9002-92-0</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735B4">
                  <w:pPr>
                    <w:kinsoku w:val="0"/>
                    <w:overflowPunct w:val="0"/>
                    <w:snapToGrid w:val="0"/>
                    <w:spacing w:line="240" w:lineRule="auto"/>
                    <w:ind w:firstLine="0" w:firstLineChars="0"/>
                    <w:jc w:val="center"/>
                    <w:rPr>
                      <w:rFonts w:hint="eastAsia"/>
                      <w:kern w:val="0"/>
                      <w:sz w:val="21"/>
                      <w:szCs w:val="21"/>
                      <w:lang w:bidi="zh-CN"/>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A6B2">
                  <w:pPr>
                    <w:kinsoku w:val="0"/>
                    <w:overflowPunct w:val="0"/>
                    <w:snapToGrid w:val="0"/>
                    <w:spacing w:line="240" w:lineRule="auto"/>
                    <w:ind w:firstLine="0" w:firstLineChars="0"/>
                    <w:jc w:val="center"/>
                    <w:rPr>
                      <w:rFonts w:hint="default"/>
                      <w:kern w:val="0"/>
                      <w:sz w:val="21"/>
                      <w:szCs w:val="21"/>
                      <w:lang w:bidi="zh-CN"/>
                    </w:rPr>
                  </w:pPr>
                  <w:r>
                    <w:rPr>
                      <w:rFonts w:hint="default"/>
                      <w:kern w:val="0"/>
                      <w:sz w:val="21"/>
                      <w:szCs w:val="21"/>
                      <w:lang w:val="en-US" w:eastAsia="zh-CN" w:bidi="zh-CN"/>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2B78">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8CC9">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0.1</w:t>
                  </w:r>
                </w:p>
              </w:tc>
            </w:tr>
            <w:tr w14:paraId="77D8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6DA2">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76B0">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二甲基硅油</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7DB0">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9006-65-9</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12219">
                  <w:pPr>
                    <w:kinsoku w:val="0"/>
                    <w:overflowPunct w:val="0"/>
                    <w:snapToGrid w:val="0"/>
                    <w:spacing w:line="240" w:lineRule="auto"/>
                    <w:ind w:firstLine="0" w:firstLineChars="0"/>
                    <w:jc w:val="center"/>
                    <w:rPr>
                      <w:rFonts w:hint="eastAsia"/>
                      <w:kern w:val="0"/>
                      <w:sz w:val="21"/>
                      <w:szCs w:val="21"/>
                      <w:lang w:bidi="zh-CN"/>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167A">
                  <w:pPr>
                    <w:kinsoku w:val="0"/>
                    <w:overflowPunct w:val="0"/>
                    <w:snapToGrid w:val="0"/>
                    <w:spacing w:line="240" w:lineRule="auto"/>
                    <w:ind w:firstLine="0" w:firstLineChars="0"/>
                    <w:jc w:val="center"/>
                    <w:rPr>
                      <w:rFonts w:hint="default"/>
                      <w:kern w:val="0"/>
                      <w:sz w:val="21"/>
                      <w:szCs w:val="21"/>
                      <w:lang w:bidi="zh-CN"/>
                    </w:rPr>
                  </w:pPr>
                  <w:r>
                    <w:rPr>
                      <w:rFonts w:hint="default"/>
                      <w:kern w:val="0"/>
                      <w:sz w:val="21"/>
                      <w:szCs w:val="21"/>
                      <w:lang w:val="en-US" w:eastAsia="zh-CN" w:bidi="zh-CN"/>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4170">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9A36">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0.03</w:t>
                  </w:r>
                </w:p>
              </w:tc>
            </w:tr>
            <w:tr w14:paraId="2F2A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2E5C">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7C7C">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氨基硅油</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8C6E">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63148-62-0</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22A4E">
                  <w:pPr>
                    <w:kinsoku w:val="0"/>
                    <w:overflowPunct w:val="0"/>
                    <w:snapToGrid w:val="0"/>
                    <w:spacing w:line="240" w:lineRule="auto"/>
                    <w:ind w:firstLine="0" w:firstLineChars="0"/>
                    <w:jc w:val="center"/>
                    <w:rPr>
                      <w:rFonts w:hint="eastAsia"/>
                      <w:kern w:val="0"/>
                      <w:sz w:val="21"/>
                      <w:szCs w:val="21"/>
                      <w:lang w:bidi="zh-CN"/>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7418">
                  <w:pPr>
                    <w:kinsoku w:val="0"/>
                    <w:overflowPunct w:val="0"/>
                    <w:snapToGrid w:val="0"/>
                    <w:spacing w:line="240" w:lineRule="auto"/>
                    <w:ind w:firstLine="0" w:firstLineChars="0"/>
                    <w:jc w:val="center"/>
                    <w:rPr>
                      <w:rFonts w:hint="default"/>
                      <w:kern w:val="0"/>
                      <w:sz w:val="21"/>
                      <w:szCs w:val="21"/>
                      <w:lang w:bidi="zh-CN"/>
                    </w:rPr>
                  </w:pPr>
                  <w:r>
                    <w:rPr>
                      <w:rFonts w:hint="default"/>
                      <w:kern w:val="0"/>
                      <w:sz w:val="21"/>
                      <w:szCs w:val="21"/>
                      <w:lang w:val="en-US" w:eastAsia="zh-CN" w:bidi="zh-CN"/>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27FF">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7C56">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0.03</w:t>
                  </w:r>
                </w:p>
              </w:tc>
            </w:tr>
            <w:tr w14:paraId="42C7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8DD0">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D109">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环氧硅油</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0ECA">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28323-47-9</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281FF">
                  <w:pPr>
                    <w:kinsoku w:val="0"/>
                    <w:overflowPunct w:val="0"/>
                    <w:snapToGrid w:val="0"/>
                    <w:spacing w:line="240" w:lineRule="auto"/>
                    <w:ind w:firstLine="0" w:firstLineChars="0"/>
                    <w:jc w:val="center"/>
                    <w:rPr>
                      <w:rFonts w:hint="eastAsia"/>
                      <w:kern w:val="0"/>
                      <w:sz w:val="21"/>
                      <w:szCs w:val="21"/>
                      <w:lang w:bidi="zh-CN"/>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5900">
                  <w:pPr>
                    <w:kinsoku w:val="0"/>
                    <w:overflowPunct w:val="0"/>
                    <w:snapToGrid w:val="0"/>
                    <w:spacing w:line="240" w:lineRule="auto"/>
                    <w:ind w:firstLine="0" w:firstLineChars="0"/>
                    <w:jc w:val="center"/>
                    <w:rPr>
                      <w:rFonts w:hint="default"/>
                      <w:kern w:val="0"/>
                      <w:sz w:val="21"/>
                      <w:szCs w:val="21"/>
                      <w:lang w:bidi="zh-CN"/>
                    </w:rPr>
                  </w:pPr>
                  <w:r>
                    <w:rPr>
                      <w:rFonts w:hint="default"/>
                      <w:kern w:val="0"/>
                      <w:sz w:val="21"/>
                      <w:szCs w:val="21"/>
                      <w:lang w:val="en-US" w:eastAsia="zh-CN" w:bidi="zh-CN"/>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D6DC">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F621">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0.02</w:t>
                  </w:r>
                </w:p>
              </w:tc>
            </w:tr>
            <w:tr w14:paraId="51F8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A3D17A">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合计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0752">
                  <w:pPr>
                    <w:kinsoku w:val="0"/>
                    <w:overflowPunct w:val="0"/>
                    <w:snapToGrid w:val="0"/>
                    <w:spacing w:line="240" w:lineRule="auto"/>
                    <w:ind w:firstLine="0" w:firstLineChars="0"/>
                    <w:jc w:val="center"/>
                    <w:rPr>
                      <w:rFonts w:hint="eastAsia"/>
                      <w:kern w:val="0"/>
                      <w:sz w:val="21"/>
                      <w:szCs w:val="21"/>
                      <w:lang w:bidi="zh-CN"/>
                    </w:rPr>
                  </w:pPr>
                  <w:r>
                    <w:rPr>
                      <w:rFonts w:hint="eastAsia"/>
                      <w:kern w:val="0"/>
                      <w:sz w:val="21"/>
                      <w:szCs w:val="21"/>
                      <w:lang w:val="en-US" w:eastAsia="zh-CN" w:bidi="zh-CN"/>
                    </w:rPr>
                    <w:t>0.59254</w:t>
                  </w:r>
                </w:p>
              </w:tc>
            </w:tr>
          </w:tbl>
          <w:p w14:paraId="0366BB0F">
            <w:pPr>
              <w:autoSpaceDE w:val="0"/>
              <w:autoSpaceDN w:val="0"/>
              <w:adjustRightInd w:val="0"/>
              <w:snapToGrid w:val="0"/>
              <w:spacing w:line="300" w:lineRule="auto"/>
              <w:ind w:firstLine="480"/>
              <w:rPr>
                <w:kern w:val="0"/>
              </w:rPr>
            </w:pPr>
            <w:r>
              <w:rPr>
                <w:kern w:val="0"/>
              </w:rPr>
              <w:t>根据《建设项目环境风险评价技术导则》(HJ169-2018)附录C中危险物质数量与临界量比值（Q）的计算公式：</w:t>
            </w:r>
          </w:p>
          <w:p w14:paraId="03E07D7E">
            <w:pPr>
              <w:autoSpaceDE w:val="0"/>
              <w:autoSpaceDN w:val="0"/>
              <w:adjustRightInd w:val="0"/>
              <w:snapToGrid w:val="0"/>
              <w:spacing w:line="300" w:lineRule="auto"/>
              <w:ind w:firstLine="480"/>
              <w:rPr>
                <w:kern w:val="0"/>
              </w:rPr>
            </w:pPr>
            <w:r>
              <w:rPr>
                <w:kern w:val="0"/>
              </w:rPr>
              <w:t>当存在多种危险物质时，则Q按照下式计算：</w:t>
            </w:r>
          </w:p>
          <w:p w14:paraId="0A605CA2">
            <w:pPr>
              <w:autoSpaceDE w:val="0"/>
              <w:autoSpaceDN w:val="0"/>
              <w:adjustRightInd w:val="0"/>
              <w:snapToGrid w:val="0"/>
              <w:spacing w:line="300" w:lineRule="auto"/>
              <w:ind w:firstLine="480"/>
              <w:jc w:val="center"/>
              <w:rPr>
                <w:kern w:val="0"/>
              </w:rPr>
            </w:pPr>
            <w:r>
              <w:rPr>
                <w:kern w:val="0"/>
              </w:rPr>
              <w:drawing>
                <wp:inline distT="0" distB="0" distL="114300" distR="114300">
                  <wp:extent cx="2209800" cy="619125"/>
                  <wp:effectExtent l="0" t="0" r="0" b="5715"/>
                  <wp:docPr id="11"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9"/>
                          <pic:cNvPicPr>
                            <a:picLocks noChangeAspect="1"/>
                          </pic:cNvPicPr>
                        </pic:nvPicPr>
                        <pic:blipFill>
                          <a:blip r:embed="rId19"/>
                          <a:stretch>
                            <a:fillRect/>
                          </a:stretch>
                        </pic:blipFill>
                        <pic:spPr>
                          <a:xfrm>
                            <a:off x="0" y="0"/>
                            <a:ext cx="2209800" cy="619125"/>
                          </a:xfrm>
                          <a:prstGeom prst="rect">
                            <a:avLst/>
                          </a:prstGeom>
                          <a:noFill/>
                          <a:ln>
                            <a:noFill/>
                          </a:ln>
                        </pic:spPr>
                      </pic:pic>
                    </a:graphicData>
                  </a:graphic>
                </wp:inline>
              </w:drawing>
            </w:r>
          </w:p>
          <w:p w14:paraId="1F36F990">
            <w:pPr>
              <w:autoSpaceDE w:val="0"/>
              <w:autoSpaceDN w:val="0"/>
              <w:adjustRightInd w:val="0"/>
              <w:snapToGrid w:val="0"/>
              <w:spacing w:line="300" w:lineRule="auto"/>
              <w:ind w:firstLine="480"/>
              <w:rPr>
                <w:kern w:val="0"/>
              </w:rPr>
            </w:pPr>
            <w:r>
              <w:rPr>
                <w:kern w:val="0"/>
              </w:rPr>
              <w:t>式中：q1，q2，...，qn—每种危险物质的最大存在总量，t；</w:t>
            </w:r>
          </w:p>
          <w:p w14:paraId="4F6ABF3C">
            <w:pPr>
              <w:autoSpaceDE w:val="0"/>
              <w:autoSpaceDN w:val="0"/>
              <w:adjustRightInd w:val="0"/>
              <w:snapToGrid w:val="0"/>
              <w:spacing w:line="300" w:lineRule="auto"/>
              <w:ind w:firstLine="480"/>
              <w:rPr>
                <w:kern w:val="0"/>
              </w:rPr>
            </w:pPr>
            <w:r>
              <w:rPr>
                <w:kern w:val="0"/>
              </w:rPr>
              <w:t>Q1，Q2，...，每种危险物质的临界量，t。</w:t>
            </w:r>
          </w:p>
          <w:p w14:paraId="08C001A0">
            <w:pPr>
              <w:autoSpaceDE w:val="0"/>
              <w:autoSpaceDN w:val="0"/>
              <w:adjustRightInd w:val="0"/>
              <w:snapToGrid w:val="0"/>
              <w:spacing w:line="300" w:lineRule="auto"/>
              <w:ind w:firstLine="480"/>
              <w:rPr>
                <w:kern w:val="0"/>
              </w:rPr>
            </w:pPr>
            <w:r>
              <w:rPr>
                <w:kern w:val="0"/>
              </w:rPr>
              <w:t>根据上式可计算出本项目Q=</w:t>
            </w:r>
            <w:r>
              <w:rPr>
                <w:rFonts w:hint="eastAsia"/>
                <w:kern w:val="0"/>
                <w:lang w:val="en-US" w:eastAsia="zh-CN"/>
              </w:rPr>
              <w:t>0.59254</w:t>
            </w:r>
            <w:r>
              <w:rPr>
                <w:kern w:val="0"/>
              </w:rPr>
              <w:t>&lt;1，环境风险潜势为I级，因此本项目环境风险影响可做简单分析。</w:t>
            </w:r>
          </w:p>
          <w:p w14:paraId="1AECC1B7">
            <w:pPr>
              <w:adjustRightInd w:val="0"/>
              <w:snapToGrid w:val="0"/>
              <w:spacing w:line="300" w:lineRule="auto"/>
              <w:ind w:firstLine="482"/>
              <w:rPr>
                <w:b/>
                <w:bCs/>
                <w:szCs w:val="32"/>
              </w:rPr>
            </w:pPr>
            <w:r>
              <w:rPr>
                <w:b/>
                <w:bCs/>
                <w:szCs w:val="32"/>
              </w:rPr>
              <w:t>2、环境风险类型及危害分析</w:t>
            </w:r>
          </w:p>
          <w:p w14:paraId="75CD58DB">
            <w:pPr>
              <w:adjustRightInd w:val="0"/>
              <w:snapToGrid w:val="0"/>
              <w:spacing w:line="300" w:lineRule="auto"/>
              <w:ind w:firstLine="480"/>
              <w:rPr>
                <w:lang w:val="zh-CN"/>
              </w:rPr>
            </w:pPr>
            <w:r>
              <w:rPr>
                <w:rFonts w:hint="eastAsia"/>
                <w:lang w:val="zh-CN"/>
              </w:rPr>
              <w:t>项目可能发生的风险事故为</w:t>
            </w:r>
            <w:r>
              <w:rPr>
                <w:rFonts w:hint="eastAsia"/>
                <w:lang w:val="en-US" w:eastAsia="zh-CN"/>
              </w:rPr>
              <w:t>工业白油、乙二醇单丁醚、废机油、废活性炭等泄露</w:t>
            </w:r>
            <w:r>
              <w:rPr>
                <w:rFonts w:hint="eastAsia"/>
                <w:lang w:val="zh-CN"/>
              </w:rPr>
              <w:t>，对周围地下水、土壤环境造成影响。火灾事故及其次生污染环境事件，对周围大气环境产生影响。见表 4-17。</w:t>
            </w:r>
          </w:p>
          <w:p w14:paraId="0179D2A1">
            <w:pPr>
              <w:adjustRightInd w:val="0"/>
              <w:snapToGrid w:val="0"/>
              <w:spacing w:line="300" w:lineRule="auto"/>
              <w:ind w:left="0" w:leftChars="0" w:firstLine="0" w:firstLineChars="0"/>
              <w:jc w:val="center"/>
              <w:rPr>
                <w:b/>
                <w:bCs/>
                <w:lang w:val="zh-CN"/>
              </w:rPr>
            </w:pPr>
            <w:r>
              <w:rPr>
                <w:rFonts w:hint="eastAsia"/>
                <w:b/>
                <w:bCs/>
                <w:lang w:val="zh-CN"/>
              </w:rPr>
              <w:t>表 4-17  项目危险物质潜在环境风险事故一览表</w:t>
            </w:r>
          </w:p>
          <w:tbl>
            <w:tblPr>
              <w:tblStyle w:val="31"/>
              <w:tblW w:w="819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9"/>
              <w:gridCol w:w="2049"/>
              <w:gridCol w:w="2049"/>
              <w:gridCol w:w="2051"/>
            </w:tblGrid>
            <w:tr w14:paraId="101C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31F5">
                  <w:pPr>
                    <w:kinsoku w:val="0"/>
                    <w:overflowPunct w:val="0"/>
                    <w:snapToGrid w:val="0"/>
                    <w:spacing w:line="240" w:lineRule="auto"/>
                    <w:ind w:firstLine="0" w:firstLineChars="0"/>
                    <w:jc w:val="center"/>
                    <w:rPr>
                      <w:rFonts w:hint="eastAsia"/>
                      <w:b/>
                      <w:bCs/>
                      <w:kern w:val="0"/>
                      <w:sz w:val="21"/>
                      <w:szCs w:val="21"/>
                      <w:lang w:val="en-US" w:eastAsia="zh-CN" w:bidi="zh-CN"/>
                    </w:rPr>
                  </w:pPr>
                  <w:r>
                    <w:rPr>
                      <w:rFonts w:hint="eastAsia"/>
                      <w:b/>
                      <w:bCs/>
                      <w:kern w:val="0"/>
                      <w:sz w:val="21"/>
                      <w:szCs w:val="21"/>
                      <w:lang w:val="en-US" w:eastAsia="zh-CN" w:bidi="zh-CN"/>
                    </w:rPr>
                    <w:t>潜在事故类型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1705">
                  <w:pPr>
                    <w:kinsoku w:val="0"/>
                    <w:overflowPunct w:val="0"/>
                    <w:snapToGrid w:val="0"/>
                    <w:spacing w:line="240" w:lineRule="auto"/>
                    <w:ind w:firstLine="0" w:firstLineChars="0"/>
                    <w:jc w:val="center"/>
                    <w:rPr>
                      <w:rFonts w:hint="eastAsia"/>
                      <w:b/>
                      <w:bCs/>
                      <w:kern w:val="0"/>
                      <w:sz w:val="21"/>
                      <w:szCs w:val="21"/>
                      <w:lang w:val="en-US" w:eastAsia="zh-CN" w:bidi="zh-CN"/>
                    </w:rPr>
                  </w:pPr>
                  <w:r>
                    <w:rPr>
                      <w:rFonts w:hint="eastAsia"/>
                      <w:b/>
                      <w:bCs/>
                      <w:kern w:val="0"/>
                      <w:sz w:val="21"/>
                      <w:szCs w:val="21"/>
                      <w:lang w:val="en-US" w:eastAsia="zh-CN" w:bidi="zh-CN"/>
                    </w:rPr>
                    <w:t>事故原因</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9447">
                  <w:pPr>
                    <w:kinsoku w:val="0"/>
                    <w:overflowPunct w:val="0"/>
                    <w:snapToGrid w:val="0"/>
                    <w:spacing w:line="240" w:lineRule="auto"/>
                    <w:ind w:firstLine="0" w:firstLineChars="0"/>
                    <w:jc w:val="center"/>
                    <w:rPr>
                      <w:rFonts w:hint="eastAsia"/>
                      <w:b/>
                      <w:bCs/>
                      <w:kern w:val="0"/>
                      <w:sz w:val="21"/>
                      <w:szCs w:val="21"/>
                      <w:lang w:val="en-US" w:eastAsia="zh-CN" w:bidi="zh-CN"/>
                    </w:rPr>
                  </w:pPr>
                  <w:r>
                    <w:rPr>
                      <w:rFonts w:hint="eastAsia"/>
                      <w:b/>
                      <w:bCs/>
                      <w:kern w:val="0"/>
                      <w:sz w:val="21"/>
                      <w:szCs w:val="21"/>
                      <w:lang w:val="en-US" w:eastAsia="zh-CN" w:bidi="zh-CN"/>
                    </w:rPr>
                    <w:t>危险物质向环境转移的可能途径</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7464">
                  <w:pPr>
                    <w:kinsoku w:val="0"/>
                    <w:overflowPunct w:val="0"/>
                    <w:snapToGrid w:val="0"/>
                    <w:spacing w:line="240" w:lineRule="auto"/>
                    <w:ind w:firstLine="0" w:firstLineChars="0"/>
                    <w:jc w:val="center"/>
                    <w:rPr>
                      <w:rFonts w:hint="eastAsia"/>
                      <w:b/>
                      <w:bCs/>
                      <w:kern w:val="0"/>
                      <w:sz w:val="21"/>
                      <w:szCs w:val="21"/>
                      <w:lang w:val="en-US" w:eastAsia="zh-CN" w:bidi="zh-CN"/>
                    </w:rPr>
                  </w:pPr>
                  <w:r>
                    <w:rPr>
                      <w:rFonts w:hint="eastAsia"/>
                      <w:b/>
                      <w:bCs/>
                      <w:kern w:val="0"/>
                      <w:sz w:val="21"/>
                      <w:szCs w:val="21"/>
                      <w:lang w:val="en-US" w:eastAsia="zh-CN" w:bidi="zh-CN"/>
                    </w:rPr>
                    <w:t>影响程度</w:t>
                  </w:r>
                </w:p>
              </w:tc>
            </w:tr>
            <w:tr w14:paraId="5716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5604">
                  <w:pPr>
                    <w:kinsoku w:val="0"/>
                    <w:overflowPunct w:val="0"/>
                    <w:snapToGrid w:val="0"/>
                    <w:spacing w:line="240" w:lineRule="auto"/>
                    <w:ind w:firstLine="0" w:firstLineChars="0"/>
                    <w:jc w:val="center"/>
                    <w:rPr>
                      <w:rFonts w:hint="eastAsia"/>
                      <w:kern w:val="0"/>
                      <w:sz w:val="21"/>
                      <w:szCs w:val="21"/>
                      <w:lang w:val="en-US" w:eastAsia="zh-CN" w:bidi="zh-CN"/>
                    </w:rPr>
                  </w:pPr>
                  <w:r>
                    <w:rPr>
                      <w:rFonts w:hint="eastAsia"/>
                      <w:kern w:val="0"/>
                      <w:sz w:val="21"/>
                      <w:szCs w:val="21"/>
                      <w:lang w:val="en-US" w:eastAsia="zh-CN" w:bidi="zh-CN"/>
                    </w:rPr>
                    <w:t>危险物质泄漏</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A02">
                  <w:pPr>
                    <w:kinsoku w:val="0"/>
                    <w:overflowPunct w:val="0"/>
                    <w:snapToGrid w:val="0"/>
                    <w:spacing w:line="240" w:lineRule="auto"/>
                    <w:ind w:firstLine="0" w:firstLineChars="0"/>
                    <w:jc w:val="center"/>
                    <w:rPr>
                      <w:rFonts w:hint="eastAsia"/>
                      <w:kern w:val="0"/>
                      <w:sz w:val="21"/>
                      <w:szCs w:val="21"/>
                      <w:lang w:val="en-US" w:eastAsia="zh-CN" w:bidi="zh-CN"/>
                    </w:rPr>
                  </w:pPr>
                  <w:r>
                    <w:rPr>
                      <w:rFonts w:hint="eastAsia"/>
                      <w:kern w:val="0"/>
                      <w:sz w:val="21"/>
                      <w:szCs w:val="21"/>
                      <w:lang w:val="en-US" w:eastAsia="zh-CN" w:bidi="zh-CN"/>
                    </w:rPr>
                    <w:t>工业白油、乙二醇单丁醚、废机油、废活性炭等泄露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899F">
                  <w:pPr>
                    <w:kinsoku w:val="0"/>
                    <w:overflowPunct w:val="0"/>
                    <w:snapToGrid w:val="0"/>
                    <w:spacing w:line="240" w:lineRule="auto"/>
                    <w:ind w:firstLine="0" w:firstLineChars="0"/>
                    <w:jc w:val="center"/>
                    <w:rPr>
                      <w:rFonts w:hint="eastAsia"/>
                      <w:kern w:val="0"/>
                      <w:sz w:val="21"/>
                      <w:szCs w:val="21"/>
                      <w:lang w:val="en-US" w:eastAsia="zh-CN" w:bidi="zh-CN"/>
                    </w:rPr>
                  </w:pPr>
                  <w:r>
                    <w:rPr>
                      <w:rFonts w:hint="eastAsia"/>
                      <w:kern w:val="0"/>
                      <w:sz w:val="21"/>
                      <w:szCs w:val="21"/>
                      <w:lang w:val="en-US" w:eastAsia="zh-CN" w:bidi="zh-CN"/>
                    </w:rPr>
                    <w:t>渗入土壤及排入周边水体，燃烧可 能排放 CO、NOx、SO</w:t>
                  </w:r>
                  <w:r>
                    <w:rPr>
                      <w:rFonts w:hint="eastAsia"/>
                      <w:kern w:val="0"/>
                      <w:sz w:val="21"/>
                      <w:szCs w:val="21"/>
                      <w:vertAlign w:val="subscript"/>
                      <w:lang w:val="en-US" w:eastAsia="zh-CN" w:bidi="zh-CN"/>
                    </w:rPr>
                    <w:t>2</w:t>
                  </w:r>
                  <w:r>
                    <w:rPr>
                      <w:rFonts w:hint="eastAsia"/>
                      <w:kern w:val="0"/>
                      <w:sz w:val="21"/>
                      <w:szCs w:val="21"/>
                      <w:lang w:val="en-US" w:eastAsia="zh-CN" w:bidi="zh-CN"/>
                    </w:rPr>
                    <w:t xml:space="preserve"> 等有毒气体。</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021E">
                  <w:pPr>
                    <w:kinsoku w:val="0"/>
                    <w:overflowPunct w:val="0"/>
                    <w:snapToGrid w:val="0"/>
                    <w:spacing w:line="240" w:lineRule="auto"/>
                    <w:ind w:firstLine="0" w:firstLineChars="0"/>
                    <w:jc w:val="center"/>
                    <w:rPr>
                      <w:rFonts w:hint="eastAsia"/>
                      <w:kern w:val="0"/>
                      <w:sz w:val="21"/>
                      <w:szCs w:val="21"/>
                      <w:lang w:val="en-US" w:eastAsia="zh-CN" w:bidi="zh-CN"/>
                    </w:rPr>
                  </w:pPr>
                  <w:r>
                    <w:rPr>
                      <w:rFonts w:hint="eastAsia"/>
                      <w:kern w:val="0"/>
                      <w:sz w:val="21"/>
                      <w:szCs w:val="21"/>
                      <w:lang w:val="en-US" w:eastAsia="zh-CN" w:bidi="zh-CN"/>
                    </w:rPr>
                    <w:t>对周边地下水及周边水域可能造成一定影响、对大气环境有一定影响</w:t>
                  </w:r>
                </w:p>
              </w:tc>
            </w:tr>
            <w:tr w14:paraId="0A36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2128">
                  <w:pPr>
                    <w:kinsoku w:val="0"/>
                    <w:overflowPunct w:val="0"/>
                    <w:snapToGrid w:val="0"/>
                    <w:spacing w:line="240" w:lineRule="auto"/>
                    <w:ind w:firstLine="0" w:firstLineChars="0"/>
                    <w:jc w:val="center"/>
                    <w:rPr>
                      <w:rFonts w:hint="eastAsia"/>
                      <w:kern w:val="0"/>
                      <w:sz w:val="21"/>
                      <w:szCs w:val="21"/>
                      <w:lang w:val="en-US" w:eastAsia="zh-CN" w:bidi="zh-CN"/>
                    </w:rPr>
                  </w:pPr>
                  <w:r>
                    <w:rPr>
                      <w:rFonts w:hint="eastAsia"/>
                      <w:kern w:val="0"/>
                      <w:sz w:val="21"/>
                      <w:szCs w:val="21"/>
                      <w:lang w:val="en-US" w:eastAsia="zh-CN" w:bidi="zh-CN"/>
                    </w:rPr>
                    <w:t>火灾事故</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A7F6">
                  <w:pPr>
                    <w:kinsoku w:val="0"/>
                    <w:overflowPunct w:val="0"/>
                    <w:snapToGrid w:val="0"/>
                    <w:spacing w:line="240" w:lineRule="auto"/>
                    <w:ind w:firstLine="0" w:firstLineChars="0"/>
                    <w:jc w:val="center"/>
                    <w:rPr>
                      <w:rFonts w:hint="eastAsia"/>
                      <w:kern w:val="0"/>
                      <w:sz w:val="21"/>
                      <w:szCs w:val="21"/>
                      <w:lang w:val="en-US" w:eastAsia="zh-CN" w:bidi="zh-CN"/>
                    </w:rPr>
                  </w:pPr>
                  <w:r>
                    <w:rPr>
                      <w:rFonts w:hint="eastAsia"/>
                      <w:kern w:val="0"/>
                      <w:sz w:val="21"/>
                      <w:szCs w:val="21"/>
                      <w:lang w:val="en-US" w:eastAsia="zh-CN" w:bidi="zh-CN"/>
                    </w:rPr>
                    <w:t>遇明火后发生火灾事故</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DC97">
                  <w:pPr>
                    <w:kinsoku w:val="0"/>
                    <w:overflowPunct w:val="0"/>
                    <w:snapToGrid w:val="0"/>
                    <w:spacing w:line="240" w:lineRule="auto"/>
                    <w:ind w:firstLine="0" w:firstLineChars="0"/>
                    <w:jc w:val="center"/>
                    <w:rPr>
                      <w:rFonts w:hint="eastAsia"/>
                      <w:kern w:val="0"/>
                      <w:sz w:val="21"/>
                      <w:szCs w:val="21"/>
                      <w:lang w:val="en-US" w:eastAsia="zh-CN" w:bidi="zh-CN"/>
                    </w:rPr>
                  </w:pPr>
                  <w:r>
                    <w:rPr>
                      <w:rFonts w:hint="eastAsia"/>
                      <w:kern w:val="0"/>
                      <w:sz w:val="21"/>
                      <w:szCs w:val="21"/>
                      <w:lang w:val="en-US" w:eastAsia="zh-CN" w:bidi="zh-CN"/>
                    </w:rPr>
                    <w:t xml:space="preserve">燃烧产物主要为 </w:t>
                  </w:r>
                  <w:r>
                    <w:rPr>
                      <w:rFonts w:hint="default"/>
                      <w:kern w:val="0"/>
                      <w:sz w:val="21"/>
                      <w:szCs w:val="21"/>
                      <w:lang w:val="en-US" w:eastAsia="zh-CN" w:bidi="zh-CN"/>
                    </w:rPr>
                    <w:t xml:space="preserve">CO </w:t>
                  </w:r>
                  <w:r>
                    <w:rPr>
                      <w:rFonts w:hint="eastAsia"/>
                      <w:kern w:val="0"/>
                      <w:sz w:val="21"/>
                      <w:szCs w:val="21"/>
                      <w:lang w:val="en-US" w:eastAsia="zh-CN" w:bidi="zh-CN"/>
                    </w:rPr>
                    <w:t>、</w:t>
                  </w:r>
                  <w:r>
                    <w:rPr>
                      <w:rFonts w:hint="default"/>
                      <w:kern w:val="0"/>
                      <w:sz w:val="21"/>
                      <w:szCs w:val="21"/>
                      <w:lang w:val="en-US" w:eastAsia="zh-CN" w:bidi="zh-CN"/>
                    </w:rPr>
                    <w:t xml:space="preserve">NOx </w:t>
                  </w:r>
                  <w:r>
                    <w:rPr>
                      <w:rFonts w:hint="eastAsia"/>
                      <w:kern w:val="0"/>
                      <w:sz w:val="21"/>
                      <w:szCs w:val="21"/>
                      <w:lang w:val="en-US" w:eastAsia="zh-CN" w:bidi="zh-CN"/>
                    </w:rPr>
                    <w:t>、</w:t>
                  </w:r>
                  <w:r>
                    <w:rPr>
                      <w:rFonts w:hint="default"/>
                      <w:kern w:val="0"/>
                      <w:sz w:val="21"/>
                      <w:szCs w:val="21"/>
                      <w:lang w:val="en-US" w:eastAsia="zh-CN" w:bidi="zh-CN"/>
                    </w:rPr>
                    <w:t>SO</w:t>
                  </w:r>
                  <w:r>
                    <w:rPr>
                      <w:rFonts w:hint="default"/>
                      <w:kern w:val="0"/>
                      <w:sz w:val="21"/>
                      <w:szCs w:val="21"/>
                      <w:vertAlign w:val="subscript"/>
                      <w:lang w:val="en-US" w:eastAsia="zh-CN" w:bidi="zh-CN"/>
                    </w:rPr>
                    <w:t>2</w:t>
                  </w:r>
                  <w:r>
                    <w:rPr>
                      <w:rFonts w:hint="eastAsia"/>
                      <w:kern w:val="0"/>
                      <w:sz w:val="21"/>
                      <w:szCs w:val="21"/>
                      <w:lang w:val="en-US" w:eastAsia="zh-CN" w:bidi="zh-CN"/>
                    </w:rPr>
                    <w:t>、烟尘等，扩散进入大气环境；消防废水排入周边水体及土壤。</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AD50">
                  <w:pPr>
                    <w:kinsoku w:val="0"/>
                    <w:overflowPunct w:val="0"/>
                    <w:snapToGrid w:val="0"/>
                    <w:spacing w:line="240" w:lineRule="auto"/>
                    <w:ind w:firstLine="0" w:firstLineChars="0"/>
                    <w:jc w:val="center"/>
                    <w:rPr>
                      <w:rFonts w:hint="eastAsia"/>
                      <w:kern w:val="0"/>
                      <w:sz w:val="21"/>
                      <w:szCs w:val="21"/>
                      <w:lang w:val="en-US" w:eastAsia="zh-CN" w:bidi="zh-CN"/>
                    </w:rPr>
                  </w:pPr>
                  <w:r>
                    <w:rPr>
                      <w:rFonts w:hint="eastAsia"/>
                      <w:kern w:val="0"/>
                      <w:sz w:val="21"/>
                      <w:szCs w:val="21"/>
                      <w:lang w:val="en-US" w:eastAsia="zh-CN" w:bidi="zh-CN"/>
                    </w:rPr>
                    <w:t>对周边敏感目标及周边水体、土壤环境有一定影响</w:t>
                  </w:r>
                </w:p>
              </w:tc>
            </w:tr>
          </w:tbl>
          <w:p w14:paraId="657D2481">
            <w:pPr>
              <w:adjustRightInd w:val="0"/>
              <w:snapToGrid w:val="0"/>
              <w:spacing w:line="300" w:lineRule="auto"/>
              <w:ind w:firstLine="482"/>
              <w:rPr>
                <w:rFonts w:hint="eastAsia"/>
                <w:b w:val="0"/>
                <w:bCs w:val="0"/>
                <w:szCs w:val="32"/>
              </w:rPr>
            </w:pPr>
            <w:r>
              <w:rPr>
                <w:rFonts w:hint="eastAsia"/>
                <w:b w:val="0"/>
                <w:bCs w:val="0"/>
                <w:szCs w:val="32"/>
              </w:rPr>
              <w:t>①危险物质泄露</w:t>
            </w:r>
          </w:p>
          <w:p w14:paraId="1F3CF853">
            <w:pPr>
              <w:adjustRightInd w:val="0"/>
              <w:snapToGrid w:val="0"/>
              <w:spacing w:line="300" w:lineRule="auto"/>
              <w:ind w:firstLine="482"/>
              <w:rPr>
                <w:rFonts w:hint="eastAsia"/>
                <w:b w:val="0"/>
                <w:bCs w:val="0"/>
                <w:szCs w:val="32"/>
              </w:rPr>
            </w:pPr>
            <w:r>
              <w:rPr>
                <w:rFonts w:hint="eastAsia"/>
                <w:b w:val="0"/>
                <w:bCs w:val="0"/>
                <w:szCs w:val="32"/>
              </w:rPr>
              <w:t>项目</w:t>
            </w:r>
            <w:r>
              <w:rPr>
                <w:rFonts w:hint="eastAsia"/>
                <w:b w:val="0"/>
                <w:bCs w:val="0"/>
                <w:lang w:val="en-US" w:eastAsia="zh-CN"/>
              </w:rPr>
              <w:t>工业白油、乙二醇单丁醚、废机油、废活性炭等使用或</w:t>
            </w:r>
            <w:r>
              <w:rPr>
                <w:rFonts w:hint="eastAsia"/>
                <w:b w:val="0"/>
                <w:bCs w:val="0"/>
                <w:szCs w:val="32"/>
              </w:rPr>
              <w:t>存放用过程， 操作不当或者包装桶破损，会发生泄露事故，可能通过雨水沟渠排入附近水体 影响水体环境，地面无防渗措施的有可能渗入地下土壤环境。土壤层被污染后 严重时不仅会造成植物生物的死亡，而且还会随着地表水的下渗对土壤层的刷作用下补充到地下水。</w:t>
            </w:r>
          </w:p>
          <w:p w14:paraId="2C41F360">
            <w:pPr>
              <w:adjustRightInd w:val="0"/>
              <w:snapToGrid w:val="0"/>
              <w:spacing w:line="300" w:lineRule="auto"/>
              <w:ind w:firstLine="482"/>
              <w:rPr>
                <w:rFonts w:hint="eastAsia"/>
                <w:b w:val="0"/>
                <w:bCs w:val="0"/>
                <w:szCs w:val="32"/>
              </w:rPr>
            </w:pPr>
            <w:r>
              <w:rPr>
                <w:rFonts w:hint="eastAsia"/>
                <w:b w:val="0"/>
                <w:bCs w:val="0"/>
                <w:szCs w:val="32"/>
              </w:rPr>
              <w:t>②火灾及伴生/次生污染</w:t>
            </w:r>
          </w:p>
          <w:p w14:paraId="5A71E498">
            <w:pPr>
              <w:adjustRightInd w:val="0"/>
              <w:snapToGrid w:val="0"/>
              <w:spacing w:line="300" w:lineRule="auto"/>
              <w:ind w:firstLine="482"/>
              <w:rPr>
                <w:rFonts w:hint="eastAsia"/>
                <w:b w:val="0"/>
                <w:bCs w:val="0"/>
                <w:szCs w:val="32"/>
              </w:rPr>
            </w:pPr>
            <w:r>
              <w:rPr>
                <w:rFonts w:hint="eastAsia"/>
                <w:b w:val="0"/>
                <w:bCs w:val="0"/>
                <w:szCs w:val="32"/>
              </w:rPr>
              <w:t>项目发生火灾事故产生的主要污染物是燃烧产生的一氧化碳、氮氧化物、二氧化硫、烟尘等。大量浓烟排放会对周围大气环境产生影响，造成 PM10、PM2.5、等大气污染物指标急剧攀升，主要会对周围大气环境产生影响，主要是附近人群会吸入有毒有害的气体。另外在发生火灾事故时，消防灭火会产生一定量的消防废水，消防废水主要含有燃烧产生的飞灰，可能含有油类和其他有机类物质，消防废水未经监测，超标排放可能对周边水体环境和土壤环境会产生一定的影响。</w:t>
            </w:r>
          </w:p>
          <w:p w14:paraId="261506B9">
            <w:pPr>
              <w:adjustRightInd w:val="0"/>
              <w:snapToGrid w:val="0"/>
              <w:spacing w:line="300" w:lineRule="auto"/>
              <w:ind w:firstLine="482"/>
              <w:rPr>
                <w:rFonts w:hint="eastAsia"/>
                <w:b w:val="0"/>
                <w:bCs w:val="0"/>
                <w:szCs w:val="32"/>
              </w:rPr>
            </w:pPr>
            <w:r>
              <w:rPr>
                <w:rFonts w:hint="eastAsia"/>
                <w:b w:val="0"/>
                <w:bCs w:val="0"/>
                <w:szCs w:val="32"/>
              </w:rPr>
              <w:t>③废气处理设施故障引起次生污染分析</w:t>
            </w:r>
          </w:p>
          <w:p w14:paraId="630D7826">
            <w:pPr>
              <w:adjustRightInd w:val="0"/>
              <w:snapToGrid w:val="0"/>
              <w:spacing w:line="300" w:lineRule="auto"/>
              <w:ind w:firstLine="482"/>
              <w:rPr>
                <w:b w:val="0"/>
                <w:bCs w:val="0"/>
                <w:szCs w:val="32"/>
              </w:rPr>
            </w:pPr>
            <w:r>
              <w:rPr>
                <w:rFonts w:hint="eastAsia"/>
                <w:b w:val="0"/>
                <w:bCs w:val="0"/>
                <w:szCs w:val="32"/>
              </w:rPr>
              <w:t>如收集处理系统在运行过程中出现泄漏、故障，则产生的废气直接排放到周围大气中，造成一定程度的大气环境污染，如没有及时处理，项目车间工作人员吸入该废气对身体也会造成一定程度的影响。</w:t>
            </w:r>
          </w:p>
          <w:p w14:paraId="448A79B6">
            <w:pPr>
              <w:adjustRightInd w:val="0"/>
              <w:snapToGrid w:val="0"/>
              <w:spacing w:line="300" w:lineRule="auto"/>
              <w:ind w:firstLine="482"/>
              <w:rPr>
                <w:b/>
                <w:bCs/>
                <w:szCs w:val="32"/>
              </w:rPr>
            </w:pPr>
            <w:r>
              <w:rPr>
                <w:b/>
                <w:bCs/>
                <w:szCs w:val="32"/>
              </w:rPr>
              <w:t>3、环境风险防范措施及应急要求</w:t>
            </w:r>
          </w:p>
          <w:p w14:paraId="4129543E">
            <w:pPr>
              <w:adjustRightInd w:val="0"/>
              <w:snapToGrid w:val="0"/>
              <w:spacing w:line="300" w:lineRule="auto"/>
              <w:ind w:firstLine="480" w:firstLineChars="0"/>
              <w:rPr>
                <w:rFonts w:hint="eastAsia"/>
                <w:lang w:val="zh-CN"/>
              </w:rPr>
            </w:pPr>
            <w:r>
              <w:rPr>
                <w:rFonts w:hint="eastAsia"/>
                <w:lang w:val="zh-CN"/>
              </w:rPr>
              <w:t>（1）为防止事故的发生，本项目应严格原材料的管理；按有关规范设计设置有效的消防系统，做到以防为主，安全可靠；工艺设备、运输设施及工艺系统选用高质、高效可靠性的产品；</w:t>
            </w:r>
          </w:p>
          <w:p w14:paraId="2B54E1E1">
            <w:pPr>
              <w:adjustRightInd w:val="0"/>
              <w:snapToGrid w:val="0"/>
              <w:spacing w:line="300" w:lineRule="auto"/>
              <w:ind w:firstLine="480" w:firstLineChars="0"/>
              <w:rPr>
                <w:rFonts w:hint="eastAsia"/>
                <w:lang w:val="zh-CN"/>
              </w:rPr>
            </w:pPr>
            <w:r>
              <w:rPr>
                <w:rFonts w:hint="eastAsia"/>
                <w:lang w:val="zh-CN"/>
              </w:rPr>
              <w:t>（2）企业应加强对危险废物的管理，严格按照《危险废物贮存污染控制标准》（GB18597-2023）的规范要求，做好危险固体废物的收集、贮存、运输和处置等工作。危险废物储存要求“防风、防雨、防晒、防渗漏 ”。暂存间周围设置围堰，能防治固废堆放引起的二次污染。地面和围堰要用坚固、防渗的材料建造，建筑材料必须与危险废物相容，宜采用钢筋混凝土材料或花岗岩材料。危险废物收集后及时委托有资质的单位进行处置。</w:t>
            </w:r>
          </w:p>
          <w:p w14:paraId="7A77BE5A">
            <w:pPr>
              <w:adjustRightInd w:val="0"/>
              <w:snapToGrid w:val="0"/>
              <w:spacing w:line="300" w:lineRule="auto"/>
              <w:ind w:firstLine="480" w:firstLineChars="0"/>
              <w:rPr>
                <w:rFonts w:hint="eastAsia"/>
                <w:lang w:val="zh-CN"/>
              </w:rPr>
            </w:pPr>
            <w:r>
              <w:rPr>
                <w:rFonts w:hint="eastAsia"/>
                <w:lang w:val="zh-CN"/>
              </w:rPr>
              <w:t>（3）加强</w:t>
            </w:r>
            <w:r>
              <w:rPr>
                <w:rFonts w:hint="eastAsia"/>
                <w:b w:val="0"/>
                <w:bCs w:val="0"/>
                <w:lang w:val="en-US" w:eastAsia="zh-CN"/>
              </w:rPr>
              <w:t>工业白油、乙二醇单丁醚、废机油、废活性炭等危险物质</w:t>
            </w:r>
            <w:r>
              <w:rPr>
                <w:rFonts w:hint="eastAsia"/>
                <w:lang w:val="zh-CN"/>
              </w:rPr>
              <w:t>的管理、远 离火种、热源；采取相应的防火、防雷等措施，配备相应品种和数量的消防器 材。</w:t>
            </w:r>
          </w:p>
          <w:p w14:paraId="7084B795">
            <w:pPr>
              <w:adjustRightInd w:val="0"/>
              <w:snapToGrid w:val="0"/>
              <w:spacing w:line="300" w:lineRule="auto"/>
              <w:ind w:firstLine="480" w:firstLineChars="0"/>
              <w:rPr>
                <w:rFonts w:hint="eastAsia"/>
                <w:lang w:val="zh-CN"/>
              </w:rPr>
            </w:pPr>
            <w:r>
              <w:rPr>
                <w:rFonts w:hint="eastAsia"/>
                <w:lang w:val="zh-CN"/>
              </w:rPr>
              <w:t>（4）针对</w:t>
            </w:r>
            <w:r>
              <w:rPr>
                <w:rFonts w:hint="eastAsia"/>
                <w:b w:val="0"/>
                <w:bCs w:val="0"/>
                <w:lang w:val="en-US" w:eastAsia="zh-CN"/>
              </w:rPr>
              <w:t>工业白油、乙二醇单丁醚、废机油、废活性炭等危险物质</w:t>
            </w:r>
            <w:r>
              <w:rPr>
                <w:rFonts w:hint="eastAsia"/>
                <w:lang w:val="zh-CN"/>
              </w:rPr>
              <w:t>的泄露事故，建设单位应建立健全的管理机构，制定各项管理制度，加强日常监督检查，每天都应对废机油等物质存放点进行检查，存放点地面应进行水泥硬化 和防渗处理，设置必要的围堰设施，避免发生泄漏时外流出场外，则泄露事故 的影响是可控的。</w:t>
            </w:r>
          </w:p>
          <w:p w14:paraId="34A5EAD5">
            <w:pPr>
              <w:adjustRightInd w:val="0"/>
              <w:snapToGrid w:val="0"/>
              <w:spacing w:line="300" w:lineRule="auto"/>
              <w:ind w:firstLine="480" w:firstLineChars="0"/>
              <w:rPr>
                <w:rFonts w:hint="eastAsia"/>
                <w:lang w:val="zh-CN"/>
              </w:rPr>
            </w:pPr>
            <w:r>
              <w:rPr>
                <w:rFonts w:hint="eastAsia"/>
                <w:lang w:val="zh-CN"/>
              </w:rPr>
              <w:t>（5）一旦突发环境污染事故，建设单位应根据事先制定的应急处理预案有步骤、有秩序的采取各项应急措施：风险事故发生时要及时上报相关部门，落实应急应急组织、人员，做好人员紧急撤离、疏散，应急救援保障等。</w:t>
            </w:r>
          </w:p>
          <w:p w14:paraId="17E21F27">
            <w:pPr>
              <w:adjustRightInd w:val="0"/>
              <w:snapToGrid w:val="0"/>
              <w:spacing w:line="300" w:lineRule="auto"/>
              <w:ind w:firstLine="480" w:firstLineChars="0"/>
              <w:rPr>
                <w:rFonts w:hint="eastAsia"/>
                <w:lang w:val="zh-CN"/>
              </w:rPr>
            </w:pPr>
            <w:r>
              <w:rPr>
                <w:rFonts w:hint="eastAsia"/>
                <w:lang w:val="zh-CN"/>
              </w:rPr>
              <w:t>（6）企业应定期对各废气处理装置进行巡查，如处理装置故障，应及时维修，并停止产污设备生产加工。</w:t>
            </w:r>
          </w:p>
          <w:p w14:paraId="356EB882">
            <w:pPr>
              <w:adjustRightInd w:val="0"/>
              <w:snapToGrid w:val="0"/>
              <w:spacing w:line="300" w:lineRule="auto"/>
              <w:ind w:firstLine="480" w:firstLineChars="0"/>
              <w:rPr>
                <w:lang w:val="zh-CN"/>
              </w:rPr>
            </w:pPr>
            <w:r>
              <w:rPr>
                <w:rFonts w:hint="eastAsia"/>
                <w:lang w:val="zh-CN"/>
              </w:rPr>
              <w:t>（7）加强原材料储存区的管理，液体原材料尤其是</w:t>
            </w:r>
            <w:r>
              <w:rPr>
                <w:rFonts w:hint="eastAsia"/>
                <w:lang w:val="en-US" w:eastAsia="zh-CN"/>
              </w:rPr>
              <w:t>工业白油、</w:t>
            </w:r>
            <w:r>
              <w:rPr>
                <w:rFonts w:hint="eastAsia"/>
                <w:lang w:val="zh-CN"/>
              </w:rPr>
              <w:t>乙二醇单丁醚等宜采用结实的容器进行存放，容器周边还应设置围堰或其他类似的围护措施，避免原材料存储容器发生泄漏时外流。</w:t>
            </w:r>
          </w:p>
          <w:p w14:paraId="140735A8">
            <w:pPr>
              <w:adjustRightInd w:val="0"/>
              <w:snapToGrid w:val="0"/>
              <w:spacing w:line="300" w:lineRule="auto"/>
              <w:ind w:firstLine="482"/>
              <w:rPr>
                <w:b/>
                <w:bCs/>
                <w:szCs w:val="32"/>
              </w:rPr>
            </w:pPr>
            <w:r>
              <w:rPr>
                <w:b/>
                <w:bCs/>
                <w:szCs w:val="32"/>
              </w:rPr>
              <w:t>5、小结</w:t>
            </w:r>
          </w:p>
          <w:p w14:paraId="2589339F">
            <w:pPr>
              <w:adjustRightInd w:val="0"/>
              <w:snapToGrid w:val="0"/>
              <w:spacing w:line="300" w:lineRule="auto"/>
              <w:ind w:firstLine="480"/>
              <w:rPr>
                <w:lang w:val="zh-CN"/>
              </w:rPr>
            </w:pPr>
            <w:r>
              <w:rPr>
                <w:lang w:val="zh-CN"/>
              </w:rPr>
              <w:t>本项目环境风险属于潜势为I，仅需要做简单分析。正常生产情况下，建设单位按照要求加强管理和设备的维护，并设立完善的预防措施和预警系统，并配备必要的设备设施，制定严格的安全操作规程和维修维护措施，本项目的环境风险在可接受范围内。一旦发生事故，因为防护措施得力并反应迅速，可把事故造成的影响降到最小。所以本项目在环境风险方面来说是可接受的。</w:t>
            </w:r>
          </w:p>
          <w:p w14:paraId="0FBC7562">
            <w:pPr>
              <w:adjustRightInd w:val="0"/>
              <w:snapToGrid w:val="0"/>
              <w:spacing w:line="300" w:lineRule="auto"/>
              <w:ind w:firstLine="480"/>
            </w:pPr>
          </w:p>
          <w:p w14:paraId="222F7B47">
            <w:pPr>
              <w:adjustRightInd w:val="0"/>
              <w:snapToGrid w:val="0"/>
              <w:spacing w:line="300" w:lineRule="auto"/>
              <w:ind w:firstLine="0" w:firstLineChars="0"/>
            </w:pPr>
          </w:p>
        </w:tc>
      </w:tr>
    </w:tbl>
    <w:p w14:paraId="5E8A2E13">
      <w:pPr>
        <w:adjustRightInd w:val="0"/>
        <w:snapToGrid w:val="0"/>
        <w:ind w:firstLine="562"/>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0F4A8E79">
      <w:pPr>
        <w:pStyle w:val="2"/>
        <w:adjustRightInd w:val="0"/>
        <w:spacing w:line="300" w:lineRule="auto"/>
        <w:ind w:left="0" w:firstLine="0" w:firstLineChars="0"/>
        <w:rPr>
          <w:color w:val="auto"/>
          <w:sz w:val="28"/>
          <w:szCs w:val="28"/>
        </w:rPr>
      </w:pPr>
      <w:bookmarkStart w:id="24" w:name="_Toc17784"/>
      <w:bookmarkStart w:id="25" w:name="_Toc11725"/>
      <w:r>
        <w:rPr>
          <w:color w:val="auto"/>
          <w:sz w:val="28"/>
          <w:szCs w:val="28"/>
        </w:rPr>
        <w:t>五、</w:t>
      </w:r>
      <w:bookmarkStart w:id="26" w:name="_Hlk54167917"/>
      <w:r>
        <w:rPr>
          <w:color w:val="auto"/>
          <w:sz w:val="28"/>
          <w:szCs w:val="28"/>
        </w:rPr>
        <w:t>环境保护措施监督检查清单</w:t>
      </w:r>
      <w:bookmarkEnd w:id="24"/>
      <w:bookmarkEnd w:id="25"/>
      <w:bookmarkEnd w:id="26"/>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559"/>
        <w:gridCol w:w="1051"/>
        <w:gridCol w:w="2635"/>
        <w:gridCol w:w="2159"/>
      </w:tblGrid>
      <w:tr w14:paraId="7C0D8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tcBorders>
              <w:tl2br w:val="single" w:color="auto" w:sz="4" w:space="0"/>
            </w:tcBorders>
          </w:tcPr>
          <w:p w14:paraId="04B0F70C">
            <w:pPr>
              <w:adjustRightInd w:val="0"/>
              <w:snapToGrid w:val="0"/>
              <w:spacing w:line="240" w:lineRule="auto"/>
              <w:ind w:firstLine="630" w:firstLineChars="300"/>
              <w:rPr>
                <w:sz w:val="21"/>
                <w:szCs w:val="21"/>
              </w:rPr>
            </w:pPr>
            <w:r>
              <w:rPr>
                <w:sz w:val="21"/>
                <w:szCs w:val="21"/>
              </w:rPr>
              <w:t>内容</w:t>
            </w:r>
          </w:p>
          <w:p w14:paraId="2032AD6B">
            <w:pPr>
              <w:adjustRightInd w:val="0"/>
              <w:snapToGrid w:val="0"/>
              <w:spacing w:line="240" w:lineRule="auto"/>
              <w:ind w:firstLine="0" w:firstLineChars="0"/>
              <w:rPr>
                <w:sz w:val="21"/>
                <w:szCs w:val="21"/>
              </w:rPr>
            </w:pPr>
            <w:r>
              <w:rPr>
                <w:sz w:val="21"/>
                <w:szCs w:val="21"/>
              </w:rPr>
              <w:t>要素</w:t>
            </w:r>
          </w:p>
        </w:tc>
        <w:tc>
          <w:tcPr>
            <w:tcW w:w="1559" w:type="dxa"/>
            <w:vAlign w:val="center"/>
          </w:tcPr>
          <w:p w14:paraId="3A9C1D7C">
            <w:pPr>
              <w:adjustRightInd w:val="0"/>
              <w:snapToGrid w:val="0"/>
              <w:spacing w:line="240" w:lineRule="auto"/>
              <w:ind w:firstLine="0" w:firstLineChars="0"/>
              <w:jc w:val="center"/>
              <w:rPr>
                <w:sz w:val="21"/>
                <w:szCs w:val="21"/>
              </w:rPr>
            </w:pPr>
            <w:r>
              <w:rPr>
                <w:sz w:val="21"/>
                <w:szCs w:val="21"/>
              </w:rPr>
              <w:t>排放口(编号、</w:t>
            </w:r>
          </w:p>
          <w:p w14:paraId="562F335B">
            <w:pPr>
              <w:adjustRightInd w:val="0"/>
              <w:snapToGrid w:val="0"/>
              <w:spacing w:line="240" w:lineRule="auto"/>
              <w:ind w:firstLine="0" w:firstLineChars="0"/>
              <w:jc w:val="center"/>
              <w:rPr>
                <w:sz w:val="21"/>
                <w:szCs w:val="21"/>
              </w:rPr>
            </w:pPr>
            <w:r>
              <w:rPr>
                <w:sz w:val="21"/>
                <w:szCs w:val="21"/>
              </w:rPr>
              <w:t>名称)/污染源</w:t>
            </w:r>
          </w:p>
        </w:tc>
        <w:tc>
          <w:tcPr>
            <w:tcW w:w="1051" w:type="dxa"/>
            <w:vAlign w:val="center"/>
          </w:tcPr>
          <w:p w14:paraId="3A55AF1C">
            <w:pPr>
              <w:adjustRightInd w:val="0"/>
              <w:snapToGrid w:val="0"/>
              <w:spacing w:line="240" w:lineRule="auto"/>
              <w:ind w:firstLine="0" w:firstLineChars="0"/>
              <w:jc w:val="center"/>
              <w:rPr>
                <w:sz w:val="21"/>
                <w:szCs w:val="21"/>
              </w:rPr>
            </w:pPr>
            <w:r>
              <w:rPr>
                <w:sz w:val="21"/>
                <w:szCs w:val="21"/>
              </w:rPr>
              <w:t>污染物项目</w:t>
            </w:r>
          </w:p>
        </w:tc>
        <w:tc>
          <w:tcPr>
            <w:tcW w:w="2635" w:type="dxa"/>
            <w:vAlign w:val="center"/>
          </w:tcPr>
          <w:p w14:paraId="7CD01E61">
            <w:pPr>
              <w:adjustRightInd w:val="0"/>
              <w:snapToGrid w:val="0"/>
              <w:spacing w:line="240" w:lineRule="auto"/>
              <w:ind w:firstLine="0" w:firstLineChars="0"/>
              <w:jc w:val="center"/>
              <w:rPr>
                <w:sz w:val="21"/>
                <w:szCs w:val="21"/>
              </w:rPr>
            </w:pPr>
            <w:r>
              <w:rPr>
                <w:sz w:val="21"/>
                <w:szCs w:val="21"/>
              </w:rPr>
              <w:t>环境保护措施</w:t>
            </w:r>
          </w:p>
        </w:tc>
        <w:tc>
          <w:tcPr>
            <w:tcW w:w="2159" w:type="dxa"/>
            <w:vAlign w:val="center"/>
          </w:tcPr>
          <w:p w14:paraId="3168CD47">
            <w:pPr>
              <w:adjustRightInd w:val="0"/>
              <w:snapToGrid w:val="0"/>
              <w:spacing w:line="240" w:lineRule="auto"/>
              <w:ind w:firstLine="0" w:firstLineChars="0"/>
              <w:jc w:val="center"/>
              <w:rPr>
                <w:sz w:val="21"/>
                <w:szCs w:val="21"/>
              </w:rPr>
            </w:pPr>
            <w:r>
              <w:rPr>
                <w:sz w:val="21"/>
                <w:szCs w:val="21"/>
              </w:rPr>
              <w:t>执行标准</w:t>
            </w:r>
          </w:p>
        </w:tc>
      </w:tr>
      <w:tr w14:paraId="01CBD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63" w:hRule="atLeast"/>
          <w:jc w:val="center"/>
        </w:trPr>
        <w:tc>
          <w:tcPr>
            <w:tcW w:w="1396" w:type="dxa"/>
            <w:vMerge w:val="restart"/>
            <w:vAlign w:val="center"/>
          </w:tcPr>
          <w:p w14:paraId="310A31B1">
            <w:pPr>
              <w:adjustRightInd w:val="0"/>
              <w:snapToGrid w:val="0"/>
              <w:spacing w:before="24" w:beforeLines="10" w:after="24" w:afterLines="10" w:line="240" w:lineRule="auto"/>
              <w:ind w:firstLine="0" w:firstLineChars="0"/>
              <w:jc w:val="center"/>
              <w:rPr>
                <w:sz w:val="21"/>
                <w:szCs w:val="21"/>
              </w:rPr>
            </w:pPr>
            <w:r>
              <w:rPr>
                <w:sz w:val="21"/>
                <w:szCs w:val="21"/>
              </w:rPr>
              <w:t>大气环境</w:t>
            </w:r>
          </w:p>
        </w:tc>
        <w:tc>
          <w:tcPr>
            <w:tcW w:w="1559" w:type="dxa"/>
            <w:vAlign w:val="center"/>
          </w:tcPr>
          <w:p w14:paraId="4846E339">
            <w:pPr>
              <w:kinsoku w:val="0"/>
              <w:overflowPunct w:val="0"/>
              <w:snapToGrid w:val="0"/>
              <w:spacing w:line="240" w:lineRule="auto"/>
              <w:ind w:firstLine="0" w:firstLineChars="0"/>
              <w:jc w:val="center"/>
              <w:rPr>
                <w:rFonts w:hint="default"/>
                <w:kern w:val="0"/>
                <w:sz w:val="21"/>
                <w:szCs w:val="21"/>
                <w:lang w:val="en-US" w:bidi="zh-CN"/>
              </w:rPr>
            </w:pPr>
            <w:r>
              <w:rPr>
                <w:rFonts w:hint="eastAsia"/>
                <w:kern w:val="0"/>
                <w:sz w:val="21"/>
                <w:szCs w:val="21"/>
                <w:lang w:val="en-US" w:bidi="zh-CN"/>
              </w:rPr>
              <w:t>投料分装废气排放口DA001</w:t>
            </w:r>
          </w:p>
        </w:tc>
        <w:tc>
          <w:tcPr>
            <w:tcW w:w="1051" w:type="dxa"/>
            <w:vAlign w:val="center"/>
          </w:tcPr>
          <w:p w14:paraId="3E0DCDFB">
            <w:pPr>
              <w:kinsoku w:val="0"/>
              <w:overflowPunct w:val="0"/>
              <w:snapToGrid w:val="0"/>
              <w:spacing w:line="240" w:lineRule="auto"/>
              <w:ind w:firstLine="0" w:firstLineChars="0"/>
              <w:jc w:val="center"/>
              <w:rPr>
                <w:kern w:val="0"/>
                <w:sz w:val="21"/>
                <w:szCs w:val="21"/>
                <w:lang w:bidi="zh-CN"/>
              </w:rPr>
            </w:pPr>
            <w:r>
              <w:rPr>
                <w:rFonts w:hint="eastAsia"/>
                <w:kern w:val="0"/>
                <w:sz w:val="21"/>
                <w:szCs w:val="21"/>
                <w:lang w:val="en-US" w:bidi="zh-CN"/>
              </w:rPr>
              <w:t>颗粒物</w:t>
            </w:r>
          </w:p>
        </w:tc>
        <w:tc>
          <w:tcPr>
            <w:tcW w:w="2635" w:type="dxa"/>
            <w:tcBorders>
              <w:bottom w:val="single" w:color="000000" w:sz="2" w:space="0"/>
            </w:tcBorders>
            <w:vAlign w:val="center"/>
          </w:tcPr>
          <w:p w14:paraId="4BE59B3C">
            <w:pPr>
              <w:kinsoku w:val="0"/>
              <w:overflowPunct w:val="0"/>
              <w:snapToGrid w:val="0"/>
              <w:spacing w:line="240" w:lineRule="auto"/>
              <w:ind w:firstLine="0" w:firstLineChars="0"/>
              <w:rPr>
                <w:rFonts w:hint="default"/>
                <w:kern w:val="0"/>
                <w:sz w:val="21"/>
                <w:szCs w:val="21"/>
                <w:lang w:val="en-US" w:bidi="zh-CN"/>
              </w:rPr>
            </w:pPr>
            <w:r>
              <w:rPr>
                <w:rFonts w:hint="eastAsia"/>
                <w:kern w:val="0"/>
                <w:sz w:val="21"/>
                <w:szCs w:val="21"/>
                <w:lang w:val="en-US" w:bidi="zh-CN"/>
              </w:rPr>
              <w:t>半密闭集气罩收集后经过布袋除尘器处理，尾气引高排放</w:t>
            </w:r>
          </w:p>
        </w:tc>
        <w:tc>
          <w:tcPr>
            <w:tcW w:w="2159" w:type="dxa"/>
            <w:tcBorders>
              <w:bottom w:val="single" w:color="000000" w:sz="2" w:space="0"/>
            </w:tcBorders>
            <w:vAlign w:val="center"/>
          </w:tcPr>
          <w:p w14:paraId="089D5D2A">
            <w:pPr>
              <w:adjustRightInd w:val="0"/>
              <w:snapToGrid w:val="0"/>
              <w:spacing w:before="24" w:beforeLines="10" w:after="24" w:afterLines="10" w:line="240" w:lineRule="auto"/>
              <w:ind w:firstLine="0" w:firstLineChars="0"/>
              <w:rPr>
                <w:sz w:val="21"/>
                <w:szCs w:val="21"/>
              </w:rPr>
            </w:pPr>
            <w:r>
              <w:rPr>
                <w:rFonts w:hint="eastAsia"/>
                <w:sz w:val="21"/>
                <w:szCs w:val="21"/>
              </w:rPr>
              <w:t>广东省《大气污染物排放限值》（DB44/27-2001）第二时段二级标准</w:t>
            </w:r>
          </w:p>
        </w:tc>
      </w:tr>
      <w:tr w14:paraId="23DDE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6" w:type="dxa"/>
            <w:vMerge w:val="continue"/>
            <w:vAlign w:val="center"/>
          </w:tcPr>
          <w:p w14:paraId="1C699230">
            <w:pPr>
              <w:adjustRightInd w:val="0"/>
              <w:snapToGrid w:val="0"/>
              <w:spacing w:before="24" w:beforeLines="10" w:after="24" w:afterLines="10" w:line="240" w:lineRule="auto"/>
              <w:ind w:firstLine="0" w:firstLineChars="0"/>
              <w:jc w:val="center"/>
              <w:rPr>
                <w:sz w:val="21"/>
                <w:szCs w:val="21"/>
              </w:rPr>
            </w:pPr>
          </w:p>
        </w:tc>
        <w:tc>
          <w:tcPr>
            <w:tcW w:w="1559" w:type="dxa"/>
            <w:vAlign w:val="center"/>
          </w:tcPr>
          <w:p w14:paraId="101FD7C8">
            <w:pPr>
              <w:kinsoku w:val="0"/>
              <w:overflowPunct w:val="0"/>
              <w:snapToGrid w:val="0"/>
              <w:spacing w:line="240" w:lineRule="auto"/>
              <w:ind w:firstLine="0" w:firstLineChars="0"/>
              <w:jc w:val="center"/>
              <w:rPr>
                <w:rFonts w:hint="default"/>
                <w:kern w:val="0"/>
                <w:sz w:val="21"/>
                <w:szCs w:val="21"/>
                <w:lang w:val="en-US" w:bidi="zh-CN"/>
              </w:rPr>
            </w:pPr>
            <w:r>
              <w:rPr>
                <w:rFonts w:hint="eastAsia"/>
                <w:kern w:val="0"/>
                <w:sz w:val="21"/>
                <w:szCs w:val="21"/>
                <w:lang w:val="en-US" w:bidi="zh-CN"/>
              </w:rPr>
              <w:t>搅拌分装有机废气排放口DA002</w:t>
            </w:r>
          </w:p>
        </w:tc>
        <w:tc>
          <w:tcPr>
            <w:tcW w:w="1051" w:type="dxa"/>
            <w:vAlign w:val="center"/>
          </w:tcPr>
          <w:p w14:paraId="480D993A">
            <w:pPr>
              <w:kinsoku w:val="0"/>
              <w:overflowPunct w:val="0"/>
              <w:snapToGrid w:val="0"/>
              <w:spacing w:line="240" w:lineRule="auto"/>
              <w:ind w:firstLine="0" w:firstLineChars="0"/>
              <w:jc w:val="center"/>
              <w:rPr>
                <w:kern w:val="0"/>
                <w:sz w:val="21"/>
                <w:szCs w:val="21"/>
                <w:lang w:bidi="zh-CN"/>
              </w:rPr>
            </w:pPr>
            <w:r>
              <w:rPr>
                <w:rFonts w:hint="eastAsia"/>
                <w:kern w:val="0"/>
                <w:sz w:val="21"/>
                <w:szCs w:val="21"/>
                <w:lang w:val="en-US" w:bidi="zh-CN"/>
              </w:rPr>
              <w:t>非甲烷总烃</w:t>
            </w:r>
          </w:p>
        </w:tc>
        <w:tc>
          <w:tcPr>
            <w:tcW w:w="2635" w:type="dxa"/>
            <w:tcBorders>
              <w:top w:val="single" w:color="000000" w:sz="2" w:space="0"/>
            </w:tcBorders>
            <w:vAlign w:val="center"/>
          </w:tcPr>
          <w:p w14:paraId="2B4B6034">
            <w:pPr>
              <w:kinsoku w:val="0"/>
              <w:overflowPunct w:val="0"/>
              <w:snapToGrid w:val="0"/>
              <w:spacing w:line="240" w:lineRule="auto"/>
              <w:ind w:firstLine="0" w:firstLineChars="0"/>
              <w:rPr>
                <w:rFonts w:hint="default"/>
                <w:kern w:val="0"/>
                <w:sz w:val="21"/>
                <w:szCs w:val="21"/>
                <w:lang w:val="en-US" w:bidi="zh-CN"/>
              </w:rPr>
            </w:pPr>
            <w:r>
              <w:rPr>
                <w:rFonts w:hint="eastAsia"/>
                <w:kern w:val="0"/>
                <w:sz w:val="21"/>
                <w:szCs w:val="21"/>
                <w:lang w:val="en-US" w:bidi="zh-CN"/>
              </w:rPr>
              <w:t>搅拌罐出气口直连、分装工位加设集气罩收集后经“二级活性炭吸附装置”处理后，尾气引高排放</w:t>
            </w:r>
          </w:p>
        </w:tc>
        <w:tc>
          <w:tcPr>
            <w:tcW w:w="2159" w:type="dxa"/>
            <w:tcBorders>
              <w:top w:val="single" w:color="000000" w:sz="2" w:space="0"/>
            </w:tcBorders>
            <w:vAlign w:val="center"/>
          </w:tcPr>
          <w:p w14:paraId="2CF27D96">
            <w:pPr>
              <w:adjustRightInd w:val="0"/>
              <w:snapToGrid w:val="0"/>
              <w:spacing w:before="24" w:beforeLines="10" w:after="24" w:afterLines="10" w:line="240" w:lineRule="auto"/>
              <w:ind w:firstLine="0" w:firstLineChars="0"/>
              <w:jc w:val="left"/>
              <w:rPr>
                <w:sz w:val="21"/>
                <w:szCs w:val="21"/>
              </w:rPr>
            </w:pPr>
            <w:r>
              <w:rPr>
                <w:rFonts w:hint="eastAsia"/>
                <w:sz w:val="21"/>
                <w:szCs w:val="21"/>
              </w:rPr>
              <w:t>《固定污染源挥发性有机物综合排放标准》（DB 44/2367-2022）表 1 挥发性有机物排放限值</w:t>
            </w:r>
          </w:p>
        </w:tc>
      </w:tr>
      <w:tr w14:paraId="55852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6" w:type="dxa"/>
            <w:vMerge w:val="continue"/>
            <w:vAlign w:val="center"/>
          </w:tcPr>
          <w:p w14:paraId="4677FBA9">
            <w:pPr>
              <w:adjustRightInd w:val="0"/>
              <w:snapToGrid w:val="0"/>
              <w:spacing w:before="24" w:beforeLines="10" w:after="24" w:afterLines="10" w:line="240" w:lineRule="auto"/>
              <w:ind w:firstLine="0" w:firstLineChars="0"/>
              <w:jc w:val="center"/>
              <w:rPr>
                <w:sz w:val="21"/>
                <w:szCs w:val="21"/>
              </w:rPr>
            </w:pPr>
          </w:p>
        </w:tc>
        <w:tc>
          <w:tcPr>
            <w:tcW w:w="1559" w:type="dxa"/>
            <w:vAlign w:val="center"/>
          </w:tcPr>
          <w:p w14:paraId="374F1243">
            <w:pPr>
              <w:kinsoku w:val="0"/>
              <w:overflowPunct w:val="0"/>
              <w:snapToGrid w:val="0"/>
              <w:spacing w:line="240" w:lineRule="auto"/>
              <w:ind w:firstLine="0" w:firstLineChars="0"/>
              <w:jc w:val="center"/>
              <w:rPr>
                <w:rFonts w:hint="eastAsia" w:ascii="Times New Roman" w:hAnsi="Times New Roman" w:eastAsia="宋体" w:cs="Times New Roman"/>
                <w:kern w:val="0"/>
                <w:sz w:val="21"/>
                <w:szCs w:val="21"/>
                <w:lang w:val="en-US" w:bidi="zh-CN"/>
              </w:rPr>
            </w:pPr>
            <w:r>
              <w:rPr>
                <w:rFonts w:hint="eastAsia" w:ascii="Times New Roman" w:hAnsi="Times New Roman" w:eastAsia="宋体" w:cs="Times New Roman"/>
                <w:kern w:val="0"/>
                <w:sz w:val="21"/>
                <w:szCs w:val="21"/>
                <w:lang w:val="en-US" w:bidi="zh-CN"/>
              </w:rPr>
              <w:t>厂区/生产废气</w:t>
            </w:r>
          </w:p>
        </w:tc>
        <w:tc>
          <w:tcPr>
            <w:tcW w:w="1051" w:type="dxa"/>
            <w:vAlign w:val="center"/>
          </w:tcPr>
          <w:p w14:paraId="42184F38">
            <w:pPr>
              <w:kinsoku w:val="0"/>
              <w:overflowPunct w:val="0"/>
              <w:snapToGrid w:val="0"/>
              <w:spacing w:line="240" w:lineRule="auto"/>
              <w:ind w:firstLine="0" w:firstLineChars="0"/>
              <w:jc w:val="center"/>
              <w:rPr>
                <w:rFonts w:hint="default" w:ascii="Times New Roman" w:hAnsi="Times New Roman" w:eastAsia="宋体" w:cs="Times New Roman"/>
                <w:kern w:val="0"/>
                <w:sz w:val="21"/>
                <w:szCs w:val="21"/>
                <w:lang w:val="en-US" w:bidi="zh-CN"/>
              </w:rPr>
            </w:pPr>
            <w:r>
              <w:rPr>
                <w:rFonts w:hint="eastAsia" w:ascii="Times New Roman" w:hAnsi="Times New Roman" w:eastAsia="宋体" w:cs="Times New Roman"/>
                <w:kern w:val="0"/>
                <w:sz w:val="21"/>
                <w:szCs w:val="21"/>
                <w:lang w:val="en-US" w:bidi="zh-CN"/>
              </w:rPr>
              <w:t>非甲烷总烃</w:t>
            </w:r>
          </w:p>
        </w:tc>
        <w:tc>
          <w:tcPr>
            <w:tcW w:w="2635" w:type="dxa"/>
            <w:tcBorders>
              <w:top w:val="single" w:color="000000" w:sz="2" w:space="0"/>
            </w:tcBorders>
            <w:vAlign w:val="center"/>
          </w:tcPr>
          <w:p w14:paraId="311D3A1B">
            <w:pPr>
              <w:kinsoku w:val="0"/>
              <w:overflowPunct w:val="0"/>
              <w:snapToGrid w:val="0"/>
              <w:spacing w:line="240" w:lineRule="auto"/>
              <w:ind w:firstLine="0" w:firstLineChars="0"/>
              <w:jc w:val="center"/>
              <w:rPr>
                <w:rFonts w:hint="default" w:ascii="Times New Roman" w:hAnsi="Times New Roman" w:eastAsia="宋体" w:cs="Times New Roman"/>
                <w:kern w:val="0"/>
                <w:sz w:val="21"/>
                <w:szCs w:val="21"/>
                <w:lang w:val="en-US" w:bidi="zh-CN"/>
              </w:rPr>
            </w:pPr>
            <w:r>
              <w:rPr>
                <w:rFonts w:hint="eastAsia" w:ascii="Times New Roman" w:hAnsi="Times New Roman" w:eastAsia="宋体" w:cs="Times New Roman"/>
                <w:kern w:val="0"/>
                <w:sz w:val="21"/>
                <w:szCs w:val="21"/>
                <w:lang w:val="en-US" w:bidi="zh-CN"/>
              </w:rPr>
              <w:t>/</w:t>
            </w:r>
          </w:p>
        </w:tc>
        <w:tc>
          <w:tcPr>
            <w:tcW w:w="2159" w:type="dxa"/>
            <w:tcBorders>
              <w:top w:val="single" w:color="000000" w:sz="2" w:space="0"/>
            </w:tcBorders>
            <w:vAlign w:val="center"/>
          </w:tcPr>
          <w:p w14:paraId="5B19AFDC">
            <w:pPr>
              <w:kinsoku w:val="0"/>
              <w:overflowPunct w:val="0"/>
              <w:snapToGrid w:val="0"/>
              <w:spacing w:line="240" w:lineRule="auto"/>
              <w:ind w:firstLine="0" w:firstLineChars="0"/>
              <w:jc w:val="left"/>
              <w:rPr>
                <w:rFonts w:hint="eastAsia" w:ascii="Times New Roman" w:hAnsi="Times New Roman" w:eastAsia="宋体" w:cs="Times New Roman"/>
                <w:kern w:val="0"/>
                <w:sz w:val="21"/>
                <w:szCs w:val="21"/>
                <w:lang w:val="en-US" w:bidi="zh-CN"/>
              </w:rPr>
            </w:pPr>
            <w:r>
              <w:rPr>
                <w:rFonts w:hint="eastAsia" w:ascii="Times New Roman" w:hAnsi="Times New Roman" w:eastAsia="宋体" w:cs="Times New Roman"/>
                <w:kern w:val="0"/>
                <w:sz w:val="21"/>
                <w:szCs w:val="21"/>
                <w:lang w:val="en-US" w:bidi="zh-CN"/>
              </w:rPr>
              <w:t>《固定污染源挥发性有机物综合排放标准》（DB 44/2367-2022）表 3 厂区内 VOCs 无组织排放限值</w:t>
            </w:r>
          </w:p>
        </w:tc>
      </w:tr>
      <w:tr w14:paraId="032AD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96" w:type="dxa"/>
            <w:vMerge w:val="continue"/>
            <w:vAlign w:val="center"/>
          </w:tcPr>
          <w:p w14:paraId="69C43155">
            <w:pPr>
              <w:adjustRightInd w:val="0"/>
              <w:snapToGrid w:val="0"/>
              <w:spacing w:before="24" w:beforeLines="10" w:after="24" w:afterLines="10" w:line="240" w:lineRule="auto"/>
              <w:ind w:firstLine="0" w:firstLineChars="0"/>
              <w:jc w:val="center"/>
              <w:rPr>
                <w:sz w:val="21"/>
                <w:szCs w:val="21"/>
              </w:rPr>
            </w:pPr>
          </w:p>
        </w:tc>
        <w:tc>
          <w:tcPr>
            <w:tcW w:w="1559" w:type="dxa"/>
            <w:vAlign w:val="center"/>
          </w:tcPr>
          <w:p w14:paraId="263EE4FE">
            <w:pPr>
              <w:kinsoku w:val="0"/>
              <w:overflowPunct w:val="0"/>
              <w:snapToGrid w:val="0"/>
              <w:spacing w:line="240" w:lineRule="auto"/>
              <w:ind w:firstLine="0" w:firstLineChars="0"/>
              <w:jc w:val="both"/>
              <w:rPr>
                <w:rFonts w:hint="eastAsia" w:ascii="Times New Roman" w:hAnsi="Times New Roman" w:eastAsia="宋体" w:cs="Times New Roman"/>
                <w:kern w:val="0"/>
                <w:sz w:val="21"/>
                <w:szCs w:val="21"/>
                <w:lang w:val="en-US" w:bidi="zh-CN"/>
              </w:rPr>
            </w:pPr>
            <w:r>
              <w:rPr>
                <w:rFonts w:hint="eastAsia" w:ascii="Times New Roman" w:hAnsi="Times New Roman" w:eastAsia="宋体" w:cs="Times New Roman"/>
                <w:kern w:val="0"/>
                <w:sz w:val="21"/>
                <w:szCs w:val="21"/>
                <w:lang w:val="en-US" w:bidi="zh-CN"/>
              </w:rPr>
              <w:t>厂界/生产废气</w:t>
            </w:r>
          </w:p>
        </w:tc>
        <w:tc>
          <w:tcPr>
            <w:tcW w:w="1051" w:type="dxa"/>
            <w:vAlign w:val="center"/>
          </w:tcPr>
          <w:p w14:paraId="2D42DBEF">
            <w:pPr>
              <w:kinsoku w:val="0"/>
              <w:overflowPunct w:val="0"/>
              <w:snapToGrid w:val="0"/>
              <w:spacing w:line="240" w:lineRule="auto"/>
              <w:ind w:firstLine="0" w:firstLineChars="0"/>
              <w:jc w:val="both"/>
              <w:rPr>
                <w:rFonts w:hint="eastAsia" w:ascii="Times New Roman" w:hAnsi="Times New Roman" w:eastAsia="宋体" w:cs="Times New Roman"/>
                <w:kern w:val="0"/>
                <w:sz w:val="21"/>
                <w:szCs w:val="21"/>
                <w:lang w:val="en-US" w:bidi="zh-CN"/>
              </w:rPr>
            </w:pPr>
            <w:r>
              <w:rPr>
                <w:rFonts w:hint="eastAsia" w:cs="Times New Roman"/>
                <w:kern w:val="0"/>
                <w:sz w:val="21"/>
                <w:szCs w:val="21"/>
                <w:lang w:val="en-US" w:bidi="zh-CN"/>
              </w:rPr>
              <w:t>颗粒物、</w:t>
            </w:r>
            <w:r>
              <w:rPr>
                <w:rFonts w:hint="eastAsia" w:ascii="Times New Roman" w:hAnsi="Times New Roman" w:eastAsia="宋体" w:cs="Times New Roman"/>
                <w:kern w:val="0"/>
                <w:sz w:val="21"/>
                <w:szCs w:val="21"/>
                <w:lang w:val="en-US" w:bidi="zh-CN"/>
              </w:rPr>
              <w:t>非甲烷总烃</w:t>
            </w:r>
          </w:p>
        </w:tc>
        <w:tc>
          <w:tcPr>
            <w:tcW w:w="2635" w:type="dxa"/>
            <w:tcBorders>
              <w:top w:val="single" w:color="000000" w:sz="2" w:space="0"/>
            </w:tcBorders>
            <w:vAlign w:val="center"/>
          </w:tcPr>
          <w:p w14:paraId="1B93C7D6">
            <w:pPr>
              <w:kinsoku w:val="0"/>
              <w:overflowPunct w:val="0"/>
              <w:snapToGrid w:val="0"/>
              <w:spacing w:line="240" w:lineRule="auto"/>
              <w:ind w:firstLine="0" w:firstLineChars="0"/>
              <w:jc w:val="center"/>
              <w:rPr>
                <w:rFonts w:hint="default" w:ascii="Times New Roman" w:hAnsi="Times New Roman" w:eastAsia="宋体" w:cs="Times New Roman"/>
                <w:kern w:val="0"/>
                <w:sz w:val="21"/>
                <w:szCs w:val="21"/>
                <w:lang w:val="en-US" w:bidi="zh-CN"/>
              </w:rPr>
            </w:pPr>
            <w:r>
              <w:rPr>
                <w:rFonts w:hint="eastAsia" w:ascii="Times New Roman" w:hAnsi="Times New Roman" w:eastAsia="宋体" w:cs="Times New Roman"/>
                <w:kern w:val="0"/>
                <w:sz w:val="21"/>
                <w:szCs w:val="21"/>
                <w:lang w:val="en-US" w:bidi="zh-CN"/>
              </w:rPr>
              <w:t>/</w:t>
            </w:r>
          </w:p>
        </w:tc>
        <w:tc>
          <w:tcPr>
            <w:tcW w:w="2159" w:type="dxa"/>
            <w:tcBorders>
              <w:top w:val="single" w:color="000000" w:sz="2" w:space="0"/>
            </w:tcBorders>
            <w:vAlign w:val="top"/>
          </w:tcPr>
          <w:p w14:paraId="1D2B6134">
            <w:pPr>
              <w:kinsoku w:val="0"/>
              <w:overflowPunct w:val="0"/>
              <w:snapToGrid w:val="0"/>
              <w:spacing w:line="240" w:lineRule="auto"/>
              <w:ind w:firstLine="0" w:firstLineChars="0"/>
              <w:jc w:val="left"/>
              <w:rPr>
                <w:rFonts w:hint="eastAsia" w:ascii="Times New Roman" w:hAnsi="Times New Roman" w:eastAsia="宋体" w:cs="Times New Roman"/>
                <w:kern w:val="0"/>
                <w:sz w:val="21"/>
                <w:szCs w:val="21"/>
                <w:lang w:val="en-US" w:bidi="zh-CN"/>
              </w:rPr>
            </w:pPr>
            <w:r>
              <w:rPr>
                <w:rFonts w:hint="eastAsia" w:ascii="Times New Roman" w:hAnsi="Times New Roman" w:eastAsia="宋体" w:cs="Times New Roman"/>
                <w:kern w:val="0"/>
                <w:sz w:val="21"/>
                <w:szCs w:val="21"/>
                <w:lang w:val="en-US" w:bidi="zh-CN"/>
              </w:rPr>
              <w:t>广东省《大气污染物排放限值》（DB44/27-2001）无组织排放监控浓度限值。</w:t>
            </w:r>
          </w:p>
        </w:tc>
      </w:tr>
      <w:tr w14:paraId="2C1A9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vAlign w:val="center"/>
          </w:tcPr>
          <w:p w14:paraId="4B3D4F04">
            <w:pPr>
              <w:adjustRightInd w:val="0"/>
              <w:snapToGrid w:val="0"/>
              <w:spacing w:before="24" w:beforeLines="10" w:after="24" w:afterLines="10" w:line="240" w:lineRule="auto"/>
              <w:ind w:firstLine="0" w:firstLineChars="0"/>
              <w:jc w:val="center"/>
              <w:rPr>
                <w:sz w:val="21"/>
                <w:szCs w:val="21"/>
              </w:rPr>
            </w:pPr>
            <w:r>
              <w:rPr>
                <w:sz w:val="21"/>
                <w:szCs w:val="21"/>
              </w:rPr>
              <w:t>地表水环境</w:t>
            </w:r>
          </w:p>
        </w:tc>
        <w:tc>
          <w:tcPr>
            <w:tcW w:w="1559" w:type="dxa"/>
            <w:vAlign w:val="center"/>
          </w:tcPr>
          <w:p w14:paraId="1EB85E3E">
            <w:pPr>
              <w:adjustRightInd w:val="0"/>
              <w:snapToGrid w:val="0"/>
              <w:spacing w:before="24" w:beforeLines="10" w:after="24" w:afterLines="10" w:line="240" w:lineRule="auto"/>
              <w:ind w:firstLine="0" w:firstLineChars="0"/>
              <w:jc w:val="center"/>
              <w:rPr>
                <w:sz w:val="21"/>
                <w:szCs w:val="21"/>
              </w:rPr>
            </w:pPr>
            <w:r>
              <w:rPr>
                <w:rFonts w:hint="eastAsia"/>
                <w:sz w:val="21"/>
                <w:szCs w:val="21"/>
                <w:lang w:val="en-US" w:eastAsia="zh-CN"/>
              </w:rPr>
              <w:t>生活污水</w:t>
            </w:r>
            <w:r>
              <w:rPr>
                <w:sz w:val="21"/>
                <w:szCs w:val="21"/>
              </w:rPr>
              <w:t>DW001</w:t>
            </w:r>
          </w:p>
        </w:tc>
        <w:tc>
          <w:tcPr>
            <w:tcW w:w="1051" w:type="dxa"/>
            <w:vAlign w:val="center"/>
          </w:tcPr>
          <w:p w14:paraId="341908D5">
            <w:pPr>
              <w:adjustRightInd w:val="0"/>
              <w:snapToGrid w:val="0"/>
              <w:spacing w:before="24" w:beforeLines="10" w:after="24" w:afterLines="10" w:line="240" w:lineRule="auto"/>
              <w:ind w:firstLine="0" w:firstLineChars="0"/>
              <w:jc w:val="center"/>
              <w:rPr>
                <w:bCs/>
                <w:spacing w:val="-6"/>
                <w:sz w:val="21"/>
                <w:szCs w:val="21"/>
              </w:rPr>
            </w:pPr>
            <w:r>
              <w:rPr>
                <w:bCs/>
                <w:spacing w:val="-6"/>
                <w:sz w:val="21"/>
                <w:szCs w:val="21"/>
              </w:rPr>
              <w:t>COD</w:t>
            </w:r>
            <w:r>
              <w:rPr>
                <w:bCs/>
                <w:spacing w:val="-6"/>
                <w:sz w:val="21"/>
                <w:szCs w:val="21"/>
                <w:vertAlign w:val="subscript"/>
              </w:rPr>
              <w:t>Cr</w:t>
            </w:r>
            <w:r>
              <w:rPr>
                <w:bCs/>
                <w:spacing w:val="-6"/>
                <w:sz w:val="21"/>
                <w:szCs w:val="21"/>
              </w:rPr>
              <w:t>、氨氮、BOD</w:t>
            </w:r>
            <w:r>
              <w:rPr>
                <w:bCs/>
                <w:spacing w:val="-6"/>
                <w:sz w:val="21"/>
                <w:szCs w:val="21"/>
                <w:vertAlign w:val="subscript"/>
              </w:rPr>
              <w:t>5</w:t>
            </w:r>
            <w:r>
              <w:rPr>
                <w:bCs/>
                <w:spacing w:val="-6"/>
                <w:sz w:val="21"/>
                <w:szCs w:val="21"/>
              </w:rPr>
              <w:t>、SS</w:t>
            </w:r>
          </w:p>
        </w:tc>
        <w:tc>
          <w:tcPr>
            <w:tcW w:w="2635" w:type="dxa"/>
            <w:vAlign w:val="center"/>
          </w:tcPr>
          <w:p w14:paraId="06A265E2">
            <w:pPr>
              <w:adjustRightInd w:val="0"/>
              <w:snapToGrid w:val="0"/>
              <w:spacing w:before="24" w:beforeLines="10" w:after="24" w:afterLines="10" w:line="240" w:lineRule="auto"/>
              <w:ind w:firstLine="0" w:firstLineChars="0"/>
              <w:rPr>
                <w:bCs/>
                <w:spacing w:val="-6"/>
                <w:sz w:val="21"/>
                <w:szCs w:val="21"/>
              </w:rPr>
            </w:pPr>
            <w:r>
              <w:rPr>
                <w:rFonts w:hint="eastAsia"/>
                <w:kern w:val="0"/>
                <w:sz w:val="21"/>
                <w:szCs w:val="21"/>
              </w:rPr>
              <w:t>项目生活污水经化粪池预处理后接入市政管网，最终排入潮阳区污水处理厂。</w:t>
            </w:r>
          </w:p>
        </w:tc>
        <w:tc>
          <w:tcPr>
            <w:tcW w:w="2159" w:type="dxa"/>
            <w:vAlign w:val="center"/>
          </w:tcPr>
          <w:p w14:paraId="3DC36B6E">
            <w:pPr>
              <w:adjustRightInd w:val="0"/>
              <w:snapToGrid w:val="0"/>
              <w:spacing w:before="24" w:beforeLines="10" w:after="24" w:afterLines="10" w:line="240" w:lineRule="auto"/>
              <w:ind w:firstLine="0" w:firstLineChars="0"/>
              <w:rPr>
                <w:bCs/>
                <w:spacing w:val="-6"/>
                <w:sz w:val="21"/>
                <w:szCs w:val="21"/>
              </w:rPr>
            </w:pPr>
            <w:r>
              <w:rPr>
                <w:rFonts w:hint="eastAsia"/>
                <w:bCs/>
                <w:spacing w:val="-6"/>
                <w:sz w:val="21"/>
                <w:szCs w:val="21"/>
              </w:rPr>
              <w:t>广东省地方标准《水污染物排放限值》（DB44/26-2001） 中第二时段三级标准</w:t>
            </w:r>
          </w:p>
        </w:tc>
      </w:tr>
      <w:tr w14:paraId="52CA0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vAlign w:val="center"/>
          </w:tcPr>
          <w:p w14:paraId="3AA869D7">
            <w:pPr>
              <w:adjustRightInd w:val="0"/>
              <w:snapToGrid w:val="0"/>
              <w:spacing w:before="24" w:beforeLines="10" w:after="24" w:afterLines="10" w:line="240" w:lineRule="auto"/>
              <w:ind w:firstLine="0" w:firstLineChars="0"/>
              <w:jc w:val="center"/>
              <w:rPr>
                <w:sz w:val="21"/>
                <w:szCs w:val="21"/>
              </w:rPr>
            </w:pPr>
            <w:r>
              <w:rPr>
                <w:sz w:val="21"/>
                <w:szCs w:val="21"/>
              </w:rPr>
              <w:t>声环境</w:t>
            </w:r>
          </w:p>
        </w:tc>
        <w:tc>
          <w:tcPr>
            <w:tcW w:w="1559" w:type="dxa"/>
            <w:vAlign w:val="center"/>
          </w:tcPr>
          <w:p w14:paraId="40860453">
            <w:pPr>
              <w:adjustRightInd w:val="0"/>
              <w:snapToGrid w:val="0"/>
              <w:spacing w:before="24" w:beforeLines="10" w:after="24" w:afterLines="10" w:line="240" w:lineRule="auto"/>
              <w:ind w:firstLine="0" w:firstLineChars="0"/>
              <w:jc w:val="center"/>
              <w:rPr>
                <w:rFonts w:hint="default" w:eastAsia="宋体"/>
                <w:sz w:val="21"/>
                <w:szCs w:val="21"/>
                <w:lang w:val="en-US" w:eastAsia="zh-CN"/>
              </w:rPr>
            </w:pPr>
            <w:r>
              <w:rPr>
                <w:rFonts w:hint="eastAsia"/>
                <w:sz w:val="21"/>
                <w:szCs w:val="21"/>
                <w:lang w:val="en-US" w:eastAsia="zh-CN"/>
              </w:rPr>
              <w:t>搅拌罐、空压机等</w:t>
            </w:r>
          </w:p>
        </w:tc>
        <w:tc>
          <w:tcPr>
            <w:tcW w:w="1051" w:type="dxa"/>
            <w:vAlign w:val="center"/>
          </w:tcPr>
          <w:p w14:paraId="69A5DD38">
            <w:pPr>
              <w:adjustRightInd w:val="0"/>
              <w:snapToGrid w:val="0"/>
              <w:spacing w:before="24" w:beforeLines="10" w:after="24" w:afterLines="10" w:line="240" w:lineRule="auto"/>
              <w:ind w:firstLine="0" w:firstLineChars="0"/>
              <w:jc w:val="center"/>
              <w:rPr>
                <w:bCs/>
                <w:spacing w:val="-6"/>
                <w:sz w:val="21"/>
                <w:szCs w:val="21"/>
              </w:rPr>
            </w:pPr>
            <w:r>
              <w:rPr>
                <w:bCs/>
                <w:spacing w:val="-6"/>
                <w:sz w:val="21"/>
                <w:szCs w:val="21"/>
              </w:rPr>
              <w:t>噪声</w:t>
            </w:r>
          </w:p>
        </w:tc>
        <w:tc>
          <w:tcPr>
            <w:tcW w:w="2635" w:type="dxa"/>
            <w:vAlign w:val="center"/>
          </w:tcPr>
          <w:p w14:paraId="5AFDA7DC">
            <w:pPr>
              <w:adjustRightInd w:val="0"/>
              <w:snapToGrid w:val="0"/>
              <w:spacing w:before="24" w:beforeLines="10" w:after="24" w:afterLines="10" w:line="240" w:lineRule="auto"/>
              <w:ind w:firstLine="0" w:firstLineChars="0"/>
              <w:rPr>
                <w:bCs/>
                <w:spacing w:val="-6"/>
                <w:sz w:val="21"/>
                <w:szCs w:val="21"/>
              </w:rPr>
            </w:pPr>
            <w:r>
              <w:rPr>
                <w:bCs/>
                <w:spacing w:val="-6"/>
                <w:sz w:val="21"/>
                <w:szCs w:val="21"/>
              </w:rPr>
              <w:t>选用低噪声设备、隔声</w:t>
            </w:r>
          </w:p>
        </w:tc>
        <w:tc>
          <w:tcPr>
            <w:tcW w:w="2159" w:type="dxa"/>
            <w:vAlign w:val="center"/>
          </w:tcPr>
          <w:p w14:paraId="0575C4FA">
            <w:pPr>
              <w:adjustRightInd w:val="0"/>
              <w:snapToGrid w:val="0"/>
              <w:spacing w:line="240" w:lineRule="auto"/>
              <w:ind w:firstLine="0" w:firstLineChars="0"/>
              <w:rPr>
                <w:bCs/>
                <w:spacing w:val="-6"/>
                <w:sz w:val="21"/>
                <w:szCs w:val="21"/>
              </w:rPr>
            </w:pPr>
            <w:r>
              <w:rPr>
                <w:bCs/>
                <w:spacing w:val="-6"/>
                <w:sz w:val="21"/>
                <w:szCs w:val="21"/>
              </w:rPr>
              <w:t>《工业企业厂界环境噪声排放标准》(GB12348-2008)</w:t>
            </w:r>
            <w:r>
              <w:rPr>
                <w:rFonts w:hint="eastAsia"/>
                <w:bCs/>
                <w:spacing w:val="-6"/>
                <w:sz w:val="21"/>
                <w:szCs w:val="21"/>
                <w:lang w:val="en-US" w:eastAsia="zh-CN"/>
              </w:rPr>
              <w:t>2</w:t>
            </w:r>
            <w:r>
              <w:rPr>
                <w:bCs/>
                <w:spacing w:val="-6"/>
                <w:sz w:val="21"/>
                <w:szCs w:val="21"/>
              </w:rPr>
              <w:t>类标准。</w:t>
            </w:r>
          </w:p>
        </w:tc>
      </w:tr>
      <w:tr w14:paraId="58A23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vAlign w:val="center"/>
          </w:tcPr>
          <w:p w14:paraId="709DAE4C">
            <w:pPr>
              <w:adjustRightInd w:val="0"/>
              <w:snapToGrid w:val="0"/>
              <w:spacing w:before="24" w:beforeLines="10" w:after="24" w:afterLines="10" w:line="240" w:lineRule="auto"/>
              <w:ind w:firstLine="0" w:firstLineChars="0"/>
              <w:jc w:val="center"/>
              <w:rPr>
                <w:sz w:val="21"/>
                <w:szCs w:val="21"/>
              </w:rPr>
            </w:pPr>
            <w:r>
              <w:rPr>
                <w:sz w:val="21"/>
                <w:szCs w:val="21"/>
              </w:rPr>
              <w:t>电磁辐射</w:t>
            </w:r>
          </w:p>
        </w:tc>
        <w:tc>
          <w:tcPr>
            <w:tcW w:w="1559" w:type="dxa"/>
            <w:vAlign w:val="center"/>
          </w:tcPr>
          <w:p w14:paraId="69089796">
            <w:pPr>
              <w:adjustRightInd w:val="0"/>
              <w:snapToGrid w:val="0"/>
              <w:spacing w:before="24" w:beforeLines="10" w:after="24" w:afterLines="10" w:line="240" w:lineRule="auto"/>
              <w:ind w:firstLine="0" w:firstLineChars="0"/>
              <w:jc w:val="center"/>
              <w:rPr>
                <w:sz w:val="21"/>
                <w:szCs w:val="21"/>
              </w:rPr>
            </w:pPr>
            <w:r>
              <w:rPr>
                <w:sz w:val="21"/>
                <w:szCs w:val="21"/>
              </w:rPr>
              <w:t>/</w:t>
            </w:r>
          </w:p>
        </w:tc>
        <w:tc>
          <w:tcPr>
            <w:tcW w:w="1051" w:type="dxa"/>
            <w:vAlign w:val="center"/>
          </w:tcPr>
          <w:p w14:paraId="208FAB7A">
            <w:pPr>
              <w:adjustRightInd w:val="0"/>
              <w:snapToGrid w:val="0"/>
              <w:spacing w:before="24" w:beforeLines="10" w:after="24" w:afterLines="10" w:line="240" w:lineRule="auto"/>
              <w:ind w:firstLine="0" w:firstLineChars="0"/>
              <w:jc w:val="center"/>
              <w:rPr>
                <w:sz w:val="21"/>
                <w:szCs w:val="21"/>
              </w:rPr>
            </w:pPr>
            <w:r>
              <w:rPr>
                <w:sz w:val="21"/>
                <w:szCs w:val="21"/>
              </w:rPr>
              <w:t>/</w:t>
            </w:r>
          </w:p>
        </w:tc>
        <w:tc>
          <w:tcPr>
            <w:tcW w:w="2635" w:type="dxa"/>
            <w:vAlign w:val="center"/>
          </w:tcPr>
          <w:p w14:paraId="70A6DB84">
            <w:pPr>
              <w:adjustRightInd w:val="0"/>
              <w:snapToGrid w:val="0"/>
              <w:spacing w:before="24" w:beforeLines="10" w:after="24" w:afterLines="10" w:line="240" w:lineRule="auto"/>
              <w:ind w:firstLine="0" w:firstLineChars="0"/>
              <w:jc w:val="center"/>
              <w:rPr>
                <w:sz w:val="21"/>
                <w:szCs w:val="21"/>
              </w:rPr>
            </w:pPr>
            <w:r>
              <w:rPr>
                <w:sz w:val="21"/>
                <w:szCs w:val="21"/>
              </w:rPr>
              <w:t>/</w:t>
            </w:r>
          </w:p>
        </w:tc>
        <w:tc>
          <w:tcPr>
            <w:tcW w:w="2159" w:type="dxa"/>
            <w:vAlign w:val="center"/>
          </w:tcPr>
          <w:p w14:paraId="2E6B4B02">
            <w:pPr>
              <w:adjustRightInd w:val="0"/>
              <w:snapToGrid w:val="0"/>
              <w:spacing w:before="24" w:beforeLines="10" w:after="24" w:afterLines="10" w:line="240" w:lineRule="auto"/>
              <w:ind w:firstLine="0" w:firstLineChars="0"/>
              <w:jc w:val="center"/>
              <w:rPr>
                <w:sz w:val="21"/>
                <w:szCs w:val="21"/>
              </w:rPr>
            </w:pPr>
            <w:r>
              <w:rPr>
                <w:sz w:val="21"/>
                <w:szCs w:val="21"/>
              </w:rPr>
              <w:t>/</w:t>
            </w:r>
          </w:p>
        </w:tc>
      </w:tr>
      <w:tr w14:paraId="1C064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96" w:type="dxa"/>
            <w:vAlign w:val="center"/>
          </w:tcPr>
          <w:p w14:paraId="4EF6FFD4">
            <w:pPr>
              <w:adjustRightInd w:val="0"/>
              <w:snapToGrid w:val="0"/>
              <w:spacing w:before="24" w:beforeLines="10" w:after="24" w:afterLines="10" w:line="240" w:lineRule="auto"/>
              <w:ind w:firstLine="0" w:firstLineChars="0"/>
              <w:jc w:val="center"/>
              <w:rPr>
                <w:sz w:val="21"/>
                <w:szCs w:val="21"/>
              </w:rPr>
            </w:pPr>
            <w:r>
              <w:rPr>
                <w:sz w:val="21"/>
                <w:szCs w:val="21"/>
              </w:rPr>
              <w:t>固体废物</w:t>
            </w:r>
          </w:p>
        </w:tc>
        <w:tc>
          <w:tcPr>
            <w:tcW w:w="7404" w:type="dxa"/>
            <w:gridSpan w:val="4"/>
          </w:tcPr>
          <w:p w14:paraId="483E75CA">
            <w:pPr>
              <w:pStyle w:val="28"/>
              <w:adjustRightInd w:val="0"/>
              <w:spacing w:before="24" w:beforeLines="10" w:after="24" w:afterLines="10" w:line="240" w:lineRule="auto"/>
              <w:ind w:right="0" w:firstLine="0" w:firstLineChars="0"/>
              <w:rPr>
                <w:szCs w:val="21"/>
              </w:rPr>
            </w:pPr>
            <w:r>
              <w:t>生活垃圾交由环卫部门清运处理；一般固废暂存一般固废间；危险废物暂存危险废物间，定期交由有资质单位处置。</w:t>
            </w:r>
          </w:p>
        </w:tc>
      </w:tr>
      <w:tr w14:paraId="776A4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96" w:type="dxa"/>
            <w:vAlign w:val="center"/>
          </w:tcPr>
          <w:p w14:paraId="38F03FEE">
            <w:pPr>
              <w:adjustRightInd w:val="0"/>
              <w:snapToGrid w:val="0"/>
              <w:spacing w:before="24" w:beforeLines="10" w:after="24" w:afterLines="10" w:line="240" w:lineRule="auto"/>
              <w:ind w:firstLine="0" w:firstLineChars="0"/>
              <w:jc w:val="center"/>
              <w:rPr>
                <w:sz w:val="21"/>
                <w:szCs w:val="21"/>
              </w:rPr>
            </w:pPr>
            <w:r>
              <w:rPr>
                <w:sz w:val="21"/>
                <w:szCs w:val="21"/>
              </w:rPr>
              <w:t>土壤及地下水污染防治措施</w:t>
            </w:r>
          </w:p>
        </w:tc>
        <w:tc>
          <w:tcPr>
            <w:tcW w:w="7404" w:type="dxa"/>
            <w:gridSpan w:val="4"/>
            <w:vAlign w:val="center"/>
          </w:tcPr>
          <w:p w14:paraId="5D37F01B">
            <w:pPr>
              <w:adjustRightInd w:val="0"/>
              <w:snapToGrid w:val="0"/>
              <w:spacing w:before="24" w:beforeLines="10" w:after="24" w:afterLines="10" w:line="240" w:lineRule="auto"/>
              <w:ind w:firstLine="0" w:firstLineChars="0"/>
              <w:rPr>
                <w:sz w:val="21"/>
                <w:szCs w:val="21"/>
              </w:rPr>
            </w:pPr>
            <w:r>
              <w:rPr>
                <w:sz w:val="21"/>
                <w:szCs w:val="21"/>
              </w:rPr>
              <w:t>地面硬化，针对不同区域进行分区防渗，</w:t>
            </w:r>
            <w:r>
              <w:rPr>
                <w:rFonts w:hint="eastAsia"/>
                <w:sz w:val="21"/>
                <w:szCs w:val="21"/>
                <w:lang w:val="en-US" w:eastAsia="zh-CN"/>
              </w:rPr>
              <w:t>加</w:t>
            </w:r>
            <w:r>
              <w:rPr>
                <w:rFonts w:hint="eastAsia"/>
                <w:sz w:val="21"/>
                <w:szCs w:val="21"/>
              </w:rPr>
              <w:t>强生产管理，在生产工艺装置、管道、设备、阀门采取相应的防控措施，防止和降低污染物跑、冒、滴、漏，落实厂区内主要污染隐患区域地面的防渗措施将污染物泄漏事故降到最低程度；按照《危险废物贮存污染控制标准》（GB18597-2023）的规范要求设置危险废物暂存场所，做到防风、防雨、防漏、防渗漏。</w:t>
            </w:r>
          </w:p>
        </w:tc>
      </w:tr>
      <w:tr w14:paraId="08D72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96" w:type="dxa"/>
            <w:vAlign w:val="center"/>
          </w:tcPr>
          <w:p w14:paraId="1E77755E">
            <w:pPr>
              <w:adjustRightInd w:val="0"/>
              <w:snapToGrid w:val="0"/>
              <w:spacing w:before="24" w:beforeLines="10" w:after="24" w:afterLines="10" w:line="240" w:lineRule="auto"/>
              <w:ind w:firstLine="0" w:firstLineChars="0"/>
              <w:jc w:val="center"/>
              <w:rPr>
                <w:sz w:val="21"/>
                <w:szCs w:val="21"/>
              </w:rPr>
            </w:pPr>
            <w:r>
              <w:rPr>
                <w:sz w:val="21"/>
                <w:szCs w:val="21"/>
              </w:rPr>
              <w:t>生态保护措施</w:t>
            </w:r>
          </w:p>
        </w:tc>
        <w:tc>
          <w:tcPr>
            <w:tcW w:w="7404" w:type="dxa"/>
            <w:gridSpan w:val="4"/>
            <w:vAlign w:val="center"/>
          </w:tcPr>
          <w:p w14:paraId="30D61C4D">
            <w:pPr>
              <w:adjustRightInd w:val="0"/>
              <w:snapToGrid w:val="0"/>
              <w:spacing w:before="24" w:beforeLines="10" w:after="24" w:afterLines="10" w:line="240" w:lineRule="auto"/>
              <w:ind w:firstLine="0" w:firstLineChars="0"/>
              <w:jc w:val="center"/>
              <w:rPr>
                <w:sz w:val="21"/>
                <w:szCs w:val="21"/>
              </w:rPr>
            </w:pPr>
            <w:r>
              <w:rPr>
                <w:sz w:val="21"/>
                <w:szCs w:val="21"/>
              </w:rPr>
              <w:t>/</w:t>
            </w:r>
          </w:p>
        </w:tc>
      </w:tr>
      <w:tr w14:paraId="6F2570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6" w:type="dxa"/>
            <w:vAlign w:val="center"/>
          </w:tcPr>
          <w:p w14:paraId="59E8E686">
            <w:pPr>
              <w:adjustRightInd w:val="0"/>
              <w:snapToGrid w:val="0"/>
              <w:spacing w:before="24" w:beforeLines="10" w:after="24" w:afterLines="10" w:line="240" w:lineRule="auto"/>
              <w:ind w:firstLine="0" w:firstLineChars="0"/>
              <w:jc w:val="center"/>
              <w:rPr>
                <w:spacing w:val="-8"/>
                <w:sz w:val="21"/>
                <w:szCs w:val="21"/>
              </w:rPr>
            </w:pPr>
            <w:r>
              <w:rPr>
                <w:spacing w:val="-8"/>
                <w:sz w:val="21"/>
                <w:szCs w:val="21"/>
              </w:rPr>
              <w:t>环境风险</w:t>
            </w:r>
          </w:p>
          <w:p w14:paraId="340214F3">
            <w:pPr>
              <w:adjustRightInd w:val="0"/>
              <w:snapToGrid w:val="0"/>
              <w:spacing w:before="24" w:beforeLines="10" w:after="24" w:afterLines="10" w:line="240" w:lineRule="auto"/>
              <w:ind w:firstLine="0" w:firstLineChars="0"/>
              <w:jc w:val="center"/>
              <w:rPr>
                <w:spacing w:val="-8"/>
                <w:sz w:val="21"/>
                <w:szCs w:val="21"/>
              </w:rPr>
            </w:pPr>
            <w:r>
              <w:rPr>
                <w:spacing w:val="-8"/>
                <w:sz w:val="21"/>
                <w:szCs w:val="21"/>
              </w:rPr>
              <w:t>防范措施</w:t>
            </w:r>
          </w:p>
        </w:tc>
        <w:tc>
          <w:tcPr>
            <w:tcW w:w="7404" w:type="dxa"/>
            <w:gridSpan w:val="4"/>
            <w:vAlign w:val="center"/>
          </w:tcPr>
          <w:p w14:paraId="0E7505C1">
            <w:pPr>
              <w:adjustRightInd w:val="0"/>
              <w:snapToGrid w:val="0"/>
              <w:spacing w:before="24" w:beforeLines="10" w:after="24" w:afterLines="10" w:line="240" w:lineRule="auto"/>
              <w:ind w:firstLine="0" w:firstLineChars="0"/>
              <w:jc w:val="left"/>
              <w:rPr>
                <w:rFonts w:hint="eastAsia"/>
                <w:spacing w:val="-8"/>
                <w:sz w:val="21"/>
                <w:szCs w:val="21"/>
              </w:rPr>
            </w:pPr>
            <w:r>
              <w:rPr>
                <w:rFonts w:hint="eastAsia"/>
              </w:rPr>
              <w:t>①</w:t>
            </w:r>
            <w:r>
              <w:rPr>
                <w:rFonts w:hint="eastAsia"/>
                <w:spacing w:val="-8"/>
                <w:sz w:val="21"/>
                <w:szCs w:val="21"/>
              </w:rPr>
              <w:t>严格做好原材料的管理；按有关规范设计设置有效的消防系统，做到以防为主，</w:t>
            </w:r>
          </w:p>
          <w:p w14:paraId="2B940979">
            <w:pPr>
              <w:adjustRightInd w:val="0"/>
              <w:snapToGrid w:val="0"/>
              <w:spacing w:before="24" w:beforeLines="10" w:after="24" w:afterLines="10" w:line="240" w:lineRule="auto"/>
              <w:ind w:firstLine="0" w:firstLineChars="0"/>
              <w:jc w:val="left"/>
              <w:rPr>
                <w:rFonts w:hint="eastAsia"/>
                <w:spacing w:val="-8"/>
                <w:sz w:val="21"/>
                <w:szCs w:val="21"/>
              </w:rPr>
            </w:pPr>
            <w:r>
              <w:rPr>
                <w:rFonts w:hint="eastAsia"/>
                <w:spacing w:val="-8"/>
                <w:sz w:val="21"/>
                <w:szCs w:val="21"/>
              </w:rPr>
              <w:t>安全可靠；工艺设备、运输设施及工艺系统选用高质、高效可靠性的产品。</w:t>
            </w:r>
          </w:p>
          <w:p w14:paraId="1134B430">
            <w:pPr>
              <w:adjustRightInd w:val="0"/>
              <w:snapToGrid w:val="0"/>
              <w:spacing w:before="24" w:beforeLines="10" w:after="24" w:afterLines="10" w:line="240" w:lineRule="auto"/>
              <w:ind w:firstLine="0" w:firstLineChars="0"/>
              <w:jc w:val="left"/>
              <w:rPr>
                <w:rFonts w:hint="eastAsia"/>
                <w:spacing w:val="-8"/>
                <w:sz w:val="21"/>
                <w:szCs w:val="21"/>
              </w:rPr>
            </w:pPr>
            <w:r>
              <w:rPr>
                <w:rFonts w:hint="eastAsia"/>
                <w:spacing w:val="-8"/>
                <w:sz w:val="21"/>
                <w:szCs w:val="21"/>
              </w:rPr>
              <w:t>②加强危险废物的管理、远离火种、热源；采取相应的防火、防雷等措施，配备相</w:t>
            </w:r>
          </w:p>
          <w:p w14:paraId="50C3B018">
            <w:pPr>
              <w:adjustRightInd w:val="0"/>
              <w:snapToGrid w:val="0"/>
              <w:spacing w:before="24" w:beforeLines="10" w:after="24" w:afterLines="10" w:line="240" w:lineRule="auto"/>
              <w:ind w:firstLine="0" w:firstLineChars="0"/>
              <w:jc w:val="left"/>
              <w:rPr>
                <w:rFonts w:hint="eastAsia"/>
                <w:spacing w:val="-8"/>
                <w:sz w:val="21"/>
                <w:szCs w:val="21"/>
              </w:rPr>
            </w:pPr>
            <w:r>
              <w:rPr>
                <w:rFonts w:hint="eastAsia"/>
                <w:spacing w:val="-8"/>
                <w:sz w:val="21"/>
                <w:szCs w:val="21"/>
              </w:rPr>
              <w:t>应品种和数量的消防器材。</w:t>
            </w:r>
          </w:p>
          <w:p w14:paraId="4151CDCB">
            <w:pPr>
              <w:adjustRightInd w:val="0"/>
              <w:snapToGrid w:val="0"/>
              <w:spacing w:before="24" w:beforeLines="10" w:after="24" w:afterLines="10" w:line="240" w:lineRule="auto"/>
              <w:ind w:firstLine="0" w:firstLineChars="0"/>
              <w:jc w:val="left"/>
              <w:rPr>
                <w:rFonts w:hint="eastAsia"/>
                <w:spacing w:val="-8"/>
                <w:sz w:val="21"/>
                <w:szCs w:val="21"/>
              </w:rPr>
            </w:pPr>
            <w:r>
              <w:rPr>
                <w:rFonts w:hint="eastAsia"/>
                <w:spacing w:val="-8"/>
                <w:sz w:val="21"/>
                <w:szCs w:val="21"/>
              </w:rPr>
              <w:t>③应建立健全的管理机构，制定各项管理制度，加强日常监督检查。</w:t>
            </w:r>
          </w:p>
          <w:p w14:paraId="3FB8D6E2">
            <w:pPr>
              <w:adjustRightInd w:val="0"/>
              <w:snapToGrid w:val="0"/>
              <w:spacing w:before="24" w:beforeLines="10" w:after="24" w:afterLines="10" w:line="240" w:lineRule="auto"/>
              <w:ind w:firstLine="0" w:firstLineChars="0"/>
              <w:jc w:val="left"/>
              <w:rPr>
                <w:rFonts w:hint="eastAsia"/>
                <w:spacing w:val="-8"/>
                <w:sz w:val="21"/>
                <w:szCs w:val="21"/>
              </w:rPr>
            </w:pPr>
            <w:r>
              <w:rPr>
                <w:rFonts w:hint="eastAsia"/>
                <w:spacing w:val="-8"/>
                <w:sz w:val="21"/>
                <w:szCs w:val="21"/>
              </w:rPr>
              <w:t>④企业应加强对危险废物的管理，严格按照《危险废物贮存污染控制标准》</w:t>
            </w:r>
          </w:p>
          <w:p w14:paraId="55D53D23">
            <w:pPr>
              <w:adjustRightInd w:val="0"/>
              <w:snapToGrid w:val="0"/>
              <w:spacing w:before="24" w:beforeLines="10" w:after="24" w:afterLines="10" w:line="240" w:lineRule="auto"/>
              <w:ind w:firstLine="0" w:firstLineChars="0"/>
              <w:jc w:val="left"/>
              <w:rPr>
                <w:rFonts w:hint="eastAsia"/>
                <w:spacing w:val="-8"/>
                <w:sz w:val="21"/>
                <w:szCs w:val="21"/>
              </w:rPr>
            </w:pPr>
            <w:r>
              <w:rPr>
                <w:rFonts w:hint="eastAsia"/>
                <w:spacing w:val="-8"/>
                <w:sz w:val="21"/>
                <w:szCs w:val="21"/>
              </w:rPr>
              <w:t>（GB18597-2023）的规范要求，做好危险固体废物的收集、贮存、运输和处置等工</w:t>
            </w:r>
          </w:p>
          <w:p w14:paraId="4017F77A">
            <w:pPr>
              <w:adjustRightInd w:val="0"/>
              <w:snapToGrid w:val="0"/>
              <w:spacing w:before="24" w:beforeLines="10" w:after="24" w:afterLines="10" w:line="240" w:lineRule="auto"/>
              <w:ind w:firstLine="0" w:firstLineChars="0"/>
              <w:jc w:val="left"/>
              <w:rPr>
                <w:rFonts w:hint="eastAsia"/>
                <w:spacing w:val="-8"/>
                <w:sz w:val="21"/>
                <w:szCs w:val="21"/>
              </w:rPr>
            </w:pPr>
            <w:r>
              <w:rPr>
                <w:rFonts w:hint="eastAsia"/>
                <w:spacing w:val="-8"/>
                <w:sz w:val="21"/>
                <w:szCs w:val="21"/>
              </w:rPr>
              <w:t>作。</w:t>
            </w:r>
          </w:p>
          <w:p w14:paraId="1B490309">
            <w:pPr>
              <w:adjustRightInd w:val="0"/>
              <w:snapToGrid w:val="0"/>
              <w:spacing w:before="24" w:beforeLines="10" w:after="24" w:afterLines="10" w:line="240" w:lineRule="auto"/>
              <w:ind w:firstLine="0" w:firstLineChars="0"/>
              <w:jc w:val="left"/>
              <w:rPr>
                <w:rFonts w:hint="eastAsia"/>
                <w:spacing w:val="-8"/>
                <w:sz w:val="21"/>
                <w:szCs w:val="21"/>
              </w:rPr>
            </w:pPr>
            <w:r>
              <w:rPr>
                <w:rFonts w:hint="eastAsia"/>
                <w:spacing w:val="-8"/>
                <w:sz w:val="21"/>
                <w:szCs w:val="21"/>
              </w:rPr>
              <w:t>⑤定期对各废气处理装置进行巡查，如处理装置故障，应及时维修，并停止产污设 备生产加工。</w:t>
            </w:r>
          </w:p>
          <w:p w14:paraId="4E44BBAB">
            <w:pPr>
              <w:adjustRightInd w:val="0"/>
              <w:snapToGrid w:val="0"/>
              <w:spacing w:line="240" w:lineRule="auto"/>
              <w:ind w:firstLine="0" w:firstLineChars="0"/>
              <w:rPr>
                <w:sz w:val="21"/>
                <w:szCs w:val="21"/>
              </w:rPr>
            </w:pPr>
            <w:r>
              <w:rPr>
                <w:rFonts w:hint="eastAsia"/>
                <w:spacing w:val="-8"/>
                <w:sz w:val="21"/>
                <w:szCs w:val="21"/>
              </w:rPr>
              <w:t>⑥做好环境风险应急预案：风险事故发生时要及时上报相关部门，落实应急应急组 织、人员，做好人员紧急撤离、疏散，应急救援保障等；</w:t>
            </w:r>
          </w:p>
        </w:tc>
      </w:tr>
      <w:tr w14:paraId="3FECD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6" w:type="dxa"/>
            <w:vAlign w:val="center"/>
          </w:tcPr>
          <w:p w14:paraId="571C04C7">
            <w:pPr>
              <w:adjustRightInd w:val="0"/>
              <w:snapToGrid w:val="0"/>
              <w:spacing w:before="24" w:beforeLines="10" w:after="24" w:afterLines="10" w:line="240" w:lineRule="auto"/>
              <w:ind w:firstLine="0" w:firstLineChars="0"/>
              <w:jc w:val="center"/>
              <w:rPr>
                <w:spacing w:val="-8"/>
                <w:sz w:val="21"/>
                <w:szCs w:val="21"/>
              </w:rPr>
            </w:pPr>
            <w:r>
              <w:rPr>
                <w:spacing w:val="-8"/>
                <w:sz w:val="21"/>
                <w:szCs w:val="21"/>
              </w:rPr>
              <w:t>其他环境</w:t>
            </w:r>
          </w:p>
          <w:p w14:paraId="45B92C41">
            <w:pPr>
              <w:adjustRightInd w:val="0"/>
              <w:snapToGrid w:val="0"/>
              <w:spacing w:before="24" w:beforeLines="10" w:after="24" w:afterLines="10" w:line="240" w:lineRule="auto"/>
              <w:ind w:firstLine="0" w:firstLineChars="0"/>
              <w:jc w:val="center"/>
              <w:rPr>
                <w:spacing w:val="-8"/>
                <w:sz w:val="21"/>
                <w:szCs w:val="21"/>
              </w:rPr>
            </w:pPr>
            <w:r>
              <w:rPr>
                <w:spacing w:val="-8"/>
                <w:sz w:val="21"/>
                <w:szCs w:val="21"/>
              </w:rPr>
              <w:t>管理要求</w:t>
            </w:r>
          </w:p>
        </w:tc>
        <w:tc>
          <w:tcPr>
            <w:tcW w:w="7404" w:type="dxa"/>
            <w:gridSpan w:val="4"/>
            <w:vAlign w:val="center"/>
          </w:tcPr>
          <w:p w14:paraId="7B199508">
            <w:pPr>
              <w:adjustRightInd w:val="0"/>
              <w:snapToGrid w:val="0"/>
              <w:spacing w:before="24" w:beforeLines="10" w:after="24" w:afterLines="10" w:line="240" w:lineRule="auto"/>
              <w:ind w:firstLine="0" w:firstLineChars="0"/>
              <w:jc w:val="left"/>
              <w:rPr>
                <w:rFonts w:hint="eastAsia" w:eastAsia="宋体"/>
                <w:sz w:val="21"/>
                <w:szCs w:val="21"/>
                <w:lang w:eastAsia="zh-CN"/>
              </w:rPr>
            </w:pPr>
            <w:r>
              <w:rPr>
                <w:rFonts w:hint="eastAsia"/>
                <w:spacing w:val="-8"/>
                <w:sz w:val="21"/>
                <w:szCs w:val="21"/>
              </w:rPr>
              <w:t>“三同时 ”制度，建立环境管理制度；执行环境自行监测计划；完成项目竣工验收</w:t>
            </w:r>
            <w:r>
              <w:rPr>
                <w:rFonts w:hint="eastAsia"/>
                <w:spacing w:val="-8"/>
                <w:sz w:val="21"/>
                <w:szCs w:val="21"/>
                <w:lang w:eastAsia="zh-CN"/>
              </w:rPr>
              <w:t>。</w:t>
            </w:r>
          </w:p>
        </w:tc>
      </w:tr>
    </w:tbl>
    <w:p w14:paraId="414E08CE">
      <w:pPr>
        <w:pStyle w:val="2"/>
        <w:adjustRightInd w:val="0"/>
        <w:spacing w:line="300" w:lineRule="auto"/>
        <w:ind w:left="0" w:firstLine="0" w:firstLineChars="0"/>
        <w:rPr>
          <w:rStyle w:val="40"/>
          <w:b/>
          <w:bCs/>
          <w:color w:val="auto"/>
        </w:rPr>
      </w:pPr>
      <w:r>
        <w:rPr>
          <w:snapToGrid w:val="0"/>
        </w:rPr>
        <w:br w:type="page"/>
      </w:r>
      <w:bookmarkStart w:id="27" w:name="_Toc14492"/>
      <w:bookmarkStart w:id="28" w:name="_Toc31532"/>
      <w:r>
        <w:rPr>
          <w:sz w:val="28"/>
          <w:szCs w:val="28"/>
        </w:rPr>
        <w:t>六、结论</w:t>
      </w:r>
      <w:bookmarkEnd w:id="27"/>
      <w:bookmarkEnd w:id="28"/>
    </w:p>
    <w:tbl>
      <w:tblPr>
        <w:tblStyle w:val="3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169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0" w:hRule="atLeast"/>
        </w:trPr>
        <w:tc>
          <w:tcPr>
            <w:tcW w:w="9060" w:type="dxa"/>
            <w:vAlign w:val="center"/>
          </w:tcPr>
          <w:p w14:paraId="72A13597">
            <w:pPr>
              <w:adjustRightInd w:val="0"/>
              <w:snapToGrid w:val="0"/>
              <w:spacing w:line="300" w:lineRule="auto"/>
              <w:ind w:firstLine="480"/>
              <w:jc w:val="both"/>
              <w:rPr>
                <w:lang w:val="zh-CN"/>
              </w:rPr>
            </w:pPr>
            <w:r>
              <w:rPr>
                <w:lang w:val="zh-CN"/>
              </w:rPr>
              <w:t>本报告对建设项目的产排污情况进行了计算，主要分析了项目运营期对周边环境可能造成的影响，尤其对废气、废水、噪声、固废进行了重点分析与评价，并提出了相应的污染防治措施及风险防范措施，在达到本报告所提出的各项要求后，项目的建设不会对环境产生明显不利影响。从环境保护角度而言，本项目的建设是可行的。</w:t>
            </w:r>
          </w:p>
          <w:p w14:paraId="5158E861">
            <w:pPr>
              <w:ind w:firstLine="0" w:firstLineChars="0"/>
              <w:jc w:val="both"/>
            </w:pPr>
          </w:p>
        </w:tc>
      </w:tr>
    </w:tbl>
    <w:p w14:paraId="5F1C972F">
      <w:pPr>
        <w:ind w:firstLine="480"/>
        <w:rPr>
          <w:vanish/>
        </w:rPr>
      </w:pPr>
    </w:p>
    <w:p w14:paraId="4BF4D3E2">
      <w:pPr>
        <w:ind w:firstLine="480"/>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13E13456">
      <w:pPr>
        <w:pStyle w:val="26"/>
        <w:adjustRightInd w:val="0"/>
        <w:snapToGrid w:val="0"/>
        <w:spacing w:before="0" w:beforeAutospacing="0" w:after="0" w:afterAutospacing="0" w:line="240" w:lineRule="auto"/>
        <w:ind w:firstLine="640"/>
        <w:jc w:val="center"/>
        <w:outlineLvl w:val="0"/>
        <w:rPr>
          <w:rFonts w:ascii="Times New Roman" w:hAnsi="Times New Roman" w:eastAsia="方正小标宋_GBK"/>
          <w:snapToGrid w:val="0"/>
          <w:sz w:val="32"/>
          <w:szCs w:val="32"/>
        </w:rPr>
      </w:pPr>
      <w:bookmarkStart w:id="29" w:name="_Toc15511"/>
      <w:bookmarkStart w:id="30" w:name="_Toc10916"/>
      <w:bookmarkStart w:id="31" w:name="_Toc15963"/>
      <w:bookmarkStart w:id="32" w:name="_Toc2267"/>
      <w:bookmarkStart w:id="33" w:name="_Toc30979"/>
      <w:bookmarkStart w:id="34" w:name="_Toc22311"/>
      <w:r>
        <w:rPr>
          <w:rFonts w:ascii="Times New Roman" w:hAnsi="Times New Roman" w:eastAsia="方正小标宋_GBK"/>
          <w:snapToGrid w:val="0"/>
          <w:sz w:val="32"/>
          <w:szCs w:val="32"/>
        </w:rPr>
        <w:t>建设项目污染物排放量汇总表</w:t>
      </w:r>
      <w:bookmarkEnd w:id="29"/>
      <w:bookmarkEnd w:id="30"/>
      <w:bookmarkEnd w:id="31"/>
      <w:bookmarkEnd w:id="32"/>
      <w:bookmarkEnd w:id="33"/>
      <w:bookmarkEnd w:id="34"/>
    </w:p>
    <w:tbl>
      <w:tblPr>
        <w:tblStyle w:val="31"/>
        <w:tblW w:w="50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603"/>
        <w:gridCol w:w="1925"/>
        <w:gridCol w:w="1443"/>
        <w:gridCol w:w="1925"/>
        <w:gridCol w:w="1763"/>
        <w:gridCol w:w="1753"/>
        <w:gridCol w:w="2095"/>
        <w:gridCol w:w="1708"/>
      </w:tblGrid>
      <w:tr w14:paraId="5D55C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96" w:type="dxa"/>
            <w:tcBorders>
              <w:tl2br w:val="single" w:color="auto" w:sz="4" w:space="0"/>
            </w:tcBorders>
            <w:tcMar>
              <w:left w:w="28" w:type="dxa"/>
              <w:right w:w="28" w:type="dxa"/>
            </w:tcMar>
            <w:vAlign w:val="center"/>
          </w:tcPr>
          <w:p w14:paraId="00730B35">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项目</w:t>
            </w:r>
          </w:p>
          <w:p w14:paraId="76A16EE8">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分类</w:t>
            </w:r>
          </w:p>
        </w:tc>
        <w:tc>
          <w:tcPr>
            <w:tcW w:w="1603" w:type="dxa"/>
            <w:tcMar>
              <w:left w:w="28" w:type="dxa"/>
              <w:right w:w="28" w:type="dxa"/>
            </w:tcMar>
            <w:vAlign w:val="center"/>
          </w:tcPr>
          <w:p w14:paraId="6C7FCFB4">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污染物名称</w:t>
            </w:r>
          </w:p>
        </w:tc>
        <w:tc>
          <w:tcPr>
            <w:tcW w:w="1925" w:type="dxa"/>
            <w:tcMar>
              <w:left w:w="28" w:type="dxa"/>
              <w:right w:w="28" w:type="dxa"/>
            </w:tcMar>
            <w:vAlign w:val="center"/>
          </w:tcPr>
          <w:p w14:paraId="689FAD41">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现有工程</w:t>
            </w:r>
          </w:p>
          <w:p w14:paraId="03E6A61A">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排放量（固体废物产生量）</w:t>
            </w: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1 \* GB3 \* MERGEFORMAT </w:instrText>
            </w:r>
            <w:r>
              <w:rPr>
                <w:rFonts w:ascii="Times New Roman" w:eastAsia="黑体"/>
                <w:snapToGrid w:val="0"/>
                <w:spacing w:val="-6"/>
                <w:kern w:val="21"/>
                <w:sz w:val="24"/>
                <w:szCs w:val="24"/>
              </w:rPr>
              <w:fldChar w:fldCharType="separate"/>
            </w:r>
            <w:r>
              <w:rPr>
                <w:rFonts w:ascii="Times New Roman" w:eastAsia="黑体"/>
                <w:kern w:val="2"/>
                <w:sz w:val="24"/>
                <w:szCs w:val="24"/>
              </w:rPr>
              <w:t>①</w:t>
            </w:r>
            <w:r>
              <w:rPr>
                <w:rFonts w:ascii="Times New Roman" w:eastAsia="黑体"/>
                <w:snapToGrid w:val="0"/>
                <w:spacing w:val="-6"/>
                <w:kern w:val="21"/>
                <w:sz w:val="24"/>
                <w:szCs w:val="24"/>
              </w:rPr>
              <w:fldChar w:fldCharType="end"/>
            </w:r>
          </w:p>
        </w:tc>
        <w:tc>
          <w:tcPr>
            <w:tcW w:w="1443" w:type="dxa"/>
            <w:tcMar>
              <w:left w:w="28" w:type="dxa"/>
              <w:right w:w="28" w:type="dxa"/>
            </w:tcMar>
            <w:vAlign w:val="center"/>
          </w:tcPr>
          <w:p w14:paraId="4AEF9784">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现有工程</w:t>
            </w:r>
          </w:p>
          <w:p w14:paraId="122E91A2">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许可排放量</w:t>
            </w:r>
          </w:p>
          <w:p w14:paraId="57423696">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2 \* GB3 \* MERGEFORMAT </w:instrText>
            </w:r>
            <w:r>
              <w:rPr>
                <w:rFonts w:ascii="Times New Roman" w:eastAsia="黑体"/>
                <w:snapToGrid w:val="0"/>
                <w:spacing w:val="-6"/>
                <w:kern w:val="21"/>
                <w:sz w:val="24"/>
                <w:szCs w:val="24"/>
              </w:rPr>
              <w:fldChar w:fldCharType="separate"/>
            </w:r>
            <w:r>
              <w:rPr>
                <w:rFonts w:ascii="Times New Roman" w:eastAsia="黑体"/>
                <w:snapToGrid w:val="0"/>
                <w:spacing w:val="-6"/>
                <w:kern w:val="21"/>
                <w:sz w:val="24"/>
                <w:szCs w:val="24"/>
              </w:rPr>
              <w:t>②</w:t>
            </w:r>
            <w:r>
              <w:rPr>
                <w:rFonts w:ascii="Times New Roman" w:eastAsia="黑体"/>
                <w:snapToGrid w:val="0"/>
                <w:spacing w:val="-6"/>
                <w:kern w:val="21"/>
                <w:sz w:val="24"/>
                <w:szCs w:val="24"/>
              </w:rPr>
              <w:fldChar w:fldCharType="end"/>
            </w:r>
          </w:p>
        </w:tc>
        <w:tc>
          <w:tcPr>
            <w:tcW w:w="1925" w:type="dxa"/>
            <w:tcMar>
              <w:left w:w="28" w:type="dxa"/>
              <w:right w:w="28" w:type="dxa"/>
            </w:tcMar>
            <w:vAlign w:val="center"/>
          </w:tcPr>
          <w:p w14:paraId="4B02246A">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在建工程</w:t>
            </w:r>
          </w:p>
          <w:p w14:paraId="6A3B771E">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排放量（固体废物产生量）</w:t>
            </w: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3 \* GB3 \* MERGEFORMAT </w:instrText>
            </w:r>
            <w:r>
              <w:rPr>
                <w:rFonts w:ascii="Times New Roman" w:eastAsia="黑体"/>
                <w:snapToGrid w:val="0"/>
                <w:spacing w:val="-6"/>
                <w:kern w:val="21"/>
                <w:sz w:val="24"/>
                <w:szCs w:val="24"/>
              </w:rPr>
              <w:fldChar w:fldCharType="separate"/>
            </w:r>
            <w:r>
              <w:rPr>
                <w:rFonts w:ascii="Times New Roman" w:eastAsia="黑体"/>
                <w:kern w:val="2"/>
                <w:sz w:val="24"/>
                <w:szCs w:val="24"/>
              </w:rPr>
              <w:t>③</w:t>
            </w:r>
            <w:r>
              <w:rPr>
                <w:rFonts w:ascii="Times New Roman" w:eastAsia="黑体"/>
                <w:snapToGrid w:val="0"/>
                <w:spacing w:val="-6"/>
                <w:kern w:val="21"/>
                <w:sz w:val="24"/>
                <w:szCs w:val="24"/>
              </w:rPr>
              <w:fldChar w:fldCharType="end"/>
            </w:r>
          </w:p>
        </w:tc>
        <w:tc>
          <w:tcPr>
            <w:tcW w:w="1763" w:type="dxa"/>
            <w:tcMar>
              <w:left w:w="28" w:type="dxa"/>
              <w:right w:w="28" w:type="dxa"/>
            </w:tcMar>
            <w:vAlign w:val="center"/>
          </w:tcPr>
          <w:p w14:paraId="6425F2E4">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本项目排放量（固体废物产生量）</w:t>
            </w: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4 \* GB3 \* MERGEFORMAT </w:instrText>
            </w:r>
            <w:r>
              <w:rPr>
                <w:rFonts w:ascii="Times New Roman" w:eastAsia="黑体"/>
                <w:snapToGrid w:val="0"/>
                <w:spacing w:val="-6"/>
                <w:kern w:val="21"/>
                <w:sz w:val="24"/>
                <w:szCs w:val="24"/>
              </w:rPr>
              <w:fldChar w:fldCharType="separate"/>
            </w:r>
            <w:r>
              <w:rPr>
                <w:rFonts w:ascii="Times New Roman" w:eastAsia="黑体"/>
                <w:kern w:val="2"/>
                <w:sz w:val="24"/>
                <w:szCs w:val="24"/>
              </w:rPr>
              <w:t>④</w:t>
            </w:r>
            <w:r>
              <w:rPr>
                <w:rFonts w:ascii="Times New Roman" w:eastAsia="黑体"/>
                <w:snapToGrid w:val="0"/>
                <w:spacing w:val="-6"/>
                <w:kern w:val="21"/>
                <w:sz w:val="24"/>
                <w:szCs w:val="24"/>
              </w:rPr>
              <w:fldChar w:fldCharType="end"/>
            </w:r>
          </w:p>
        </w:tc>
        <w:tc>
          <w:tcPr>
            <w:tcW w:w="1753" w:type="dxa"/>
            <w:tcMar>
              <w:left w:w="28" w:type="dxa"/>
              <w:right w:w="28" w:type="dxa"/>
            </w:tcMar>
            <w:vAlign w:val="center"/>
          </w:tcPr>
          <w:p w14:paraId="2D1CAA28">
            <w:pPr>
              <w:pStyle w:val="59"/>
              <w:spacing w:beforeLines="0" w:afterLines="0" w:line="240" w:lineRule="auto"/>
              <w:ind w:left="0" w:firstLine="0" w:firstLineChars="0"/>
              <w:rPr>
                <w:rFonts w:ascii="Times New Roman" w:eastAsia="黑体"/>
                <w:snapToGrid w:val="0"/>
                <w:spacing w:val="-16"/>
                <w:kern w:val="21"/>
                <w:sz w:val="24"/>
                <w:szCs w:val="24"/>
              </w:rPr>
            </w:pPr>
            <w:r>
              <w:rPr>
                <w:rFonts w:ascii="Times New Roman" w:eastAsia="黑体"/>
                <w:snapToGrid w:val="0"/>
                <w:spacing w:val="-16"/>
                <w:kern w:val="21"/>
                <w:sz w:val="24"/>
                <w:szCs w:val="24"/>
              </w:rPr>
              <w:t>以新带老削减量（新建项目不填）</w:t>
            </w:r>
            <w:r>
              <w:rPr>
                <w:rFonts w:ascii="Times New Roman" w:eastAsia="黑体"/>
                <w:snapToGrid w:val="0"/>
                <w:spacing w:val="-16"/>
                <w:kern w:val="21"/>
                <w:sz w:val="24"/>
                <w:szCs w:val="24"/>
              </w:rPr>
              <w:fldChar w:fldCharType="begin"/>
            </w:r>
            <w:r>
              <w:rPr>
                <w:rFonts w:ascii="Times New Roman" w:eastAsia="黑体"/>
                <w:snapToGrid w:val="0"/>
                <w:spacing w:val="-16"/>
                <w:kern w:val="21"/>
                <w:sz w:val="24"/>
                <w:szCs w:val="24"/>
              </w:rPr>
              <w:instrText xml:space="preserve"> = 5 \* GB3 \* MERGEFORMAT </w:instrText>
            </w:r>
            <w:r>
              <w:rPr>
                <w:rFonts w:ascii="Times New Roman" w:eastAsia="黑体"/>
                <w:snapToGrid w:val="0"/>
                <w:spacing w:val="-16"/>
                <w:kern w:val="21"/>
                <w:sz w:val="24"/>
                <w:szCs w:val="24"/>
              </w:rPr>
              <w:fldChar w:fldCharType="separate"/>
            </w:r>
            <w:r>
              <w:rPr>
                <w:rFonts w:ascii="Times New Roman"/>
                <w:kern w:val="2"/>
                <w:sz w:val="24"/>
                <w:szCs w:val="24"/>
              </w:rPr>
              <w:t>⑤</w:t>
            </w:r>
            <w:r>
              <w:rPr>
                <w:rFonts w:ascii="Times New Roman" w:eastAsia="黑体"/>
                <w:snapToGrid w:val="0"/>
                <w:spacing w:val="-16"/>
                <w:kern w:val="21"/>
                <w:sz w:val="24"/>
                <w:szCs w:val="24"/>
              </w:rPr>
              <w:fldChar w:fldCharType="end"/>
            </w:r>
          </w:p>
        </w:tc>
        <w:tc>
          <w:tcPr>
            <w:tcW w:w="2095" w:type="dxa"/>
            <w:tcMar>
              <w:left w:w="28" w:type="dxa"/>
              <w:right w:w="28" w:type="dxa"/>
            </w:tcMar>
            <w:vAlign w:val="center"/>
          </w:tcPr>
          <w:p w14:paraId="7F2F2AC9">
            <w:pPr>
              <w:pStyle w:val="59"/>
              <w:spacing w:beforeLines="0" w:afterLines="0" w:line="240" w:lineRule="auto"/>
              <w:ind w:left="0" w:firstLine="0" w:firstLineChars="0"/>
              <w:rPr>
                <w:rFonts w:ascii="Times New Roman" w:eastAsia="黑体"/>
                <w:snapToGrid w:val="0"/>
                <w:spacing w:val="-16"/>
                <w:kern w:val="21"/>
                <w:sz w:val="24"/>
                <w:szCs w:val="24"/>
              </w:rPr>
            </w:pPr>
            <w:r>
              <w:rPr>
                <w:rFonts w:ascii="Times New Roman" w:eastAsia="黑体"/>
                <w:snapToGrid w:val="0"/>
                <w:spacing w:val="-16"/>
                <w:kern w:val="21"/>
                <w:sz w:val="24"/>
                <w:szCs w:val="24"/>
              </w:rPr>
              <w:t>本项目建成后</w:t>
            </w:r>
          </w:p>
          <w:p w14:paraId="635F3D39">
            <w:pPr>
              <w:pStyle w:val="59"/>
              <w:spacing w:beforeLines="0" w:afterLines="0" w:line="240" w:lineRule="auto"/>
              <w:ind w:left="0" w:firstLine="0" w:firstLineChars="0"/>
              <w:rPr>
                <w:rFonts w:ascii="Times New Roman" w:eastAsia="黑体"/>
                <w:snapToGrid w:val="0"/>
                <w:spacing w:val="-16"/>
                <w:kern w:val="21"/>
                <w:sz w:val="24"/>
                <w:szCs w:val="24"/>
              </w:rPr>
            </w:pPr>
            <w:r>
              <w:rPr>
                <w:rFonts w:ascii="Times New Roman" w:eastAsia="黑体"/>
                <w:snapToGrid w:val="0"/>
                <w:spacing w:val="-16"/>
                <w:kern w:val="21"/>
                <w:sz w:val="24"/>
                <w:szCs w:val="24"/>
              </w:rPr>
              <w:t>全厂排放量（固体废物产生量）</w:t>
            </w:r>
            <w:r>
              <w:rPr>
                <w:rFonts w:ascii="Times New Roman" w:eastAsia="黑体"/>
                <w:snapToGrid w:val="0"/>
                <w:spacing w:val="-16"/>
                <w:kern w:val="21"/>
                <w:sz w:val="24"/>
                <w:szCs w:val="24"/>
              </w:rPr>
              <w:fldChar w:fldCharType="begin"/>
            </w:r>
            <w:r>
              <w:rPr>
                <w:rFonts w:ascii="Times New Roman" w:eastAsia="黑体"/>
                <w:snapToGrid w:val="0"/>
                <w:spacing w:val="-16"/>
                <w:kern w:val="21"/>
                <w:sz w:val="24"/>
                <w:szCs w:val="24"/>
              </w:rPr>
              <w:instrText xml:space="preserve"> = 6 \* GB3 \* MERGEFORMAT </w:instrText>
            </w:r>
            <w:r>
              <w:rPr>
                <w:rFonts w:ascii="Times New Roman" w:eastAsia="黑体"/>
                <w:snapToGrid w:val="0"/>
                <w:spacing w:val="-16"/>
                <w:kern w:val="21"/>
                <w:sz w:val="24"/>
                <w:szCs w:val="24"/>
              </w:rPr>
              <w:fldChar w:fldCharType="separate"/>
            </w:r>
            <w:r>
              <w:rPr>
                <w:rFonts w:ascii="Times New Roman" w:eastAsia="黑体"/>
                <w:kern w:val="2"/>
                <w:sz w:val="24"/>
                <w:szCs w:val="24"/>
              </w:rPr>
              <w:t>⑥</w:t>
            </w:r>
            <w:r>
              <w:rPr>
                <w:rFonts w:ascii="Times New Roman" w:eastAsia="黑体"/>
                <w:snapToGrid w:val="0"/>
                <w:spacing w:val="-16"/>
                <w:kern w:val="21"/>
                <w:sz w:val="24"/>
                <w:szCs w:val="24"/>
              </w:rPr>
              <w:fldChar w:fldCharType="end"/>
            </w:r>
          </w:p>
        </w:tc>
        <w:tc>
          <w:tcPr>
            <w:tcW w:w="1708" w:type="dxa"/>
            <w:tcMar>
              <w:left w:w="28" w:type="dxa"/>
              <w:right w:w="28" w:type="dxa"/>
            </w:tcMar>
            <w:vAlign w:val="center"/>
          </w:tcPr>
          <w:p w14:paraId="354CD81F">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t>变化量</w:t>
            </w:r>
          </w:p>
          <w:p w14:paraId="4F221F10">
            <w:pPr>
              <w:pStyle w:val="59"/>
              <w:spacing w:beforeLines="0" w:afterLines="0" w:line="240" w:lineRule="auto"/>
              <w:ind w:left="0" w:firstLine="0" w:firstLineChars="0"/>
              <w:rPr>
                <w:rFonts w:ascii="Times New Roman" w:eastAsia="黑体"/>
                <w:snapToGrid w:val="0"/>
                <w:spacing w:val="-6"/>
                <w:kern w:val="21"/>
                <w:sz w:val="24"/>
                <w:szCs w:val="24"/>
              </w:rPr>
            </w:pP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7 \* GB3 \* MERGEFORMAT </w:instrText>
            </w:r>
            <w:r>
              <w:rPr>
                <w:rFonts w:ascii="Times New Roman" w:eastAsia="黑体"/>
                <w:snapToGrid w:val="0"/>
                <w:spacing w:val="-6"/>
                <w:kern w:val="21"/>
                <w:sz w:val="24"/>
                <w:szCs w:val="24"/>
              </w:rPr>
              <w:fldChar w:fldCharType="separate"/>
            </w:r>
            <w:r>
              <w:rPr>
                <w:rFonts w:ascii="Times New Roman" w:eastAsia="黑体"/>
                <w:kern w:val="2"/>
                <w:sz w:val="24"/>
                <w:szCs w:val="24"/>
              </w:rPr>
              <w:t>⑦</w:t>
            </w:r>
            <w:r>
              <w:rPr>
                <w:rFonts w:ascii="Times New Roman" w:eastAsia="黑体"/>
                <w:snapToGrid w:val="0"/>
                <w:spacing w:val="-6"/>
                <w:kern w:val="21"/>
                <w:sz w:val="24"/>
                <w:szCs w:val="24"/>
              </w:rPr>
              <w:fldChar w:fldCharType="end"/>
            </w:r>
          </w:p>
        </w:tc>
      </w:tr>
      <w:tr w14:paraId="15275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96" w:type="dxa"/>
            <w:vMerge w:val="restart"/>
            <w:vAlign w:val="center"/>
          </w:tcPr>
          <w:p w14:paraId="20E0057B">
            <w:pPr>
              <w:pStyle w:val="59"/>
              <w:spacing w:beforeLines="0" w:afterLines="0" w:line="240" w:lineRule="auto"/>
              <w:ind w:left="0" w:firstLine="0" w:firstLineChars="0"/>
              <w:rPr>
                <w:rFonts w:ascii="Times New Roman"/>
                <w:snapToGrid w:val="0"/>
                <w:kern w:val="21"/>
                <w:sz w:val="24"/>
                <w:szCs w:val="24"/>
              </w:rPr>
            </w:pPr>
            <w:r>
              <w:rPr>
                <w:rFonts w:ascii="Times New Roman"/>
                <w:snapToGrid w:val="0"/>
                <w:kern w:val="21"/>
                <w:sz w:val="24"/>
                <w:szCs w:val="24"/>
              </w:rPr>
              <w:t>废气</w:t>
            </w:r>
          </w:p>
        </w:tc>
        <w:tc>
          <w:tcPr>
            <w:tcW w:w="1603" w:type="dxa"/>
            <w:vAlign w:val="center"/>
          </w:tcPr>
          <w:p w14:paraId="374E6BC7">
            <w:pPr>
              <w:adjustRightInd w:val="0"/>
              <w:snapToGrid w:val="0"/>
              <w:spacing w:line="240" w:lineRule="auto"/>
              <w:ind w:firstLine="0" w:firstLineChars="0"/>
              <w:jc w:val="center"/>
              <w:rPr>
                <w:rFonts w:hint="eastAsia" w:eastAsia="宋体"/>
                <w:snapToGrid w:val="0"/>
                <w:kern w:val="21"/>
                <w:lang w:eastAsia="zh-CN"/>
              </w:rPr>
            </w:pPr>
            <w:r>
              <w:rPr>
                <w:rFonts w:hint="eastAsia"/>
                <w:snapToGrid w:val="0"/>
                <w:kern w:val="21"/>
                <w:lang w:val="en-US" w:eastAsia="zh-CN"/>
              </w:rPr>
              <w:t>颗粒物</w:t>
            </w:r>
          </w:p>
        </w:tc>
        <w:tc>
          <w:tcPr>
            <w:tcW w:w="1925" w:type="dxa"/>
            <w:vAlign w:val="center"/>
          </w:tcPr>
          <w:p w14:paraId="25E86993">
            <w:pPr>
              <w:adjustRightInd w:val="0"/>
              <w:snapToGrid w:val="0"/>
              <w:spacing w:line="240" w:lineRule="auto"/>
              <w:ind w:firstLine="0" w:firstLineChars="0"/>
              <w:jc w:val="center"/>
              <w:rPr>
                <w:snapToGrid w:val="0"/>
                <w:kern w:val="21"/>
              </w:rPr>
            </w:pPr>
            <w:r>
              <w:rPr>
                <w:snapToGrid w:val="0"/>
                <w:kern w:val="21"/>
              </w:rPr>
              <w:t>/</w:t>
            </w:r>
          </w:p>
        </w:tc>
        <w:tc>
          <w:tcPr>
            <w:tcW w:w="1443" w:type="dxa"/>
            <w:vAlign w:val="center"/>
          </w:tcPr>
          <w:p w14:paraId="01AF5298">
            <w:pPr>
              <w:adjustRightInd w:val="0"/>
              <w:snapToGrid w:val="0"/>
              <w:spacing w:line="240" w:lineRule="auto"/>
              <w:ind w:firstLine="0" w:firstLineChars="0"/>
              <w:jc w:val="center"/>
              <w:rPr>
                <w:snapToGrid w:val="0"/>
                <w:kern w:val="21"/>
              </w:rPr>
            </w:pPr>
            <w:r>
              <w:rPr>
                <w:snapToGrid w:val="0"/>
                <w:kern w:val="21"/>
              </w:rPr>
              <w:t>/</w:t>
            </w:r>
          </w:p>
        </w:tc>
        <w:tc>
          <w:tcPr>
            <w:tcW w:w="1925" w:type="dxa"/>
            <w:vAlign w:val="center"/>
          </w:tcPr>
          <w:p w14:paraId="0249B101">
            <w:pPr>
              <w:adjustRightInd w:val="0"/>
              <w:snapToGrid w:val="0"/>
              <w:spacing w:line="240" w:lineRule="auto"/>
              <w:ind w:firstLine="0" w:firstLineChars="0"/>
              <w:jc w:val="center"/>
              <w:rPr>
                <w:snapToGrid w:val="0"/>
                <w:kern w:val="21"/>
              </w:rPr>
            </w:pPr>
            <w:r>
              <w:rPr>
                <w:snapToGrid w:val="0"/>
                <w:kern w:val="21"/>
              </w:rPr>
              <w:t>/</w:t>
            </w:r>
          </w:p>
        </w:tc>
        <w:tc>
          <w:tcPr>
            <w:tcW w:w="1763" w:type="dxa"/>
            <w:vAlign w:val="center"/>
          </w:tcPr>
          <w:p w14:paraId="4377A52F">
            <w:pPr>
              <w:adjustRightInd w:val="0"/>
              <w:snapToGrid w:val="0"/>
              <w:spacing w:line="240" w:lineRule="auto"/>
              <w:ind w:firstLine="0" w:firstLineChars="0"/>
              <w:jc w:val="center"/>
              <w:rPr>
                <w:snapToGrid w:val="0"/>
                <w:kern w:val="21"/>
              </w:rPr>
            </w:pPr>
            <w:r>
              <w:rPr>
                <w:rFonts w:hint="eastAsia"/>
                <w:snapToGrid w:val="0"/>
                <w:kern w:val="21"/>
                <w:lang w:val="en-US" w:eastAsia="zh-CN"/>
              </w:rPr>
              <w:t>0.009t</w:t>
            </w:r>
            <w:r>
              <w:rPr>
                <w:snapToGrid w:val="0"/>
                <w:kern w:val="21"/>
              </w:rPr>
              <w:t>/a</w:t>
            </w:r>
          </w:p>
        </w:tc>
        <w:tc>
          <w:tcPr>
            <w:tcW w:w="1753" w:type="dxa"/>
            <w:vAlign w:val="center"/>
          </w:tcPr>
          <w:p w14:paraId="5014C7A5">
            <w:pPr>
              <w:adjustRightInd w:val="0"/>
              <w:snapToGrid w:val="0"/>
              <w:spacing w:line="240" w:lineRule="auto"/>
              <w:ind w:firstLine="0" w:firstLineChars="0"/>
              <w:jc w:val="center"/>
              <w:rPr>
                <w:snapToGrid w:val="0"/>
                <w:kern w:val="21"/>
              </w:rPr>
            </w:pPr>
          </w:p>
        </w:tc>
        <w:tc>
          <w:tcPr>
            <w:tcW w:w="2095" w:type="dxa"/>
            <w:vAlign w:val="center"/>
          </w:tcPr>
          <w:p w14:paraId="372A99C8">
            <w:pPr>
              <w:adjustRightInd w:val="0"/>
              <w:snapToGrid w:val="0"/>
              <w:spacing w:line="240" w:lineRule="auto"/>
              <w:ind w:firstLine="0" w:firstLineChars="0"/>
              <w:jc w:val="center"/>
              <w:rPr>
                <w:snapToGrid w:val="0"/>
                <w:kern w:val="21"/>
              </w:rPr>
            </w:pPr>
            <w:r>
              <w:rPr>
                <w:rFonts w:hint="eastAsia"/>
                <w:snapToGrid w:val="0"/>
                <w:kern w:val="21"/>
                <w:lang w:val="en-US" w:eastAsia="zh-CN"/>
              </w:rPr>
              <w:t>0.009t</w:t>
            </w:r>
            <w:r>
              <w:rPr>
                <w:snapToGrid w:val="0"/>
                <w:kern w:val="21"/>
              </w:rPr>
              <w:t>/a</w:t>
            </w:r>
          </w:p>
        </w:tc>
        <w:tc>
          <w:tcPr>
            <w:tcW w:w="1708" w:type="dxa"/>
            <w:vAlign w:val="center"/>
          </w:tcPr>
          <w:p w14:paraId="4937E067">
            <w:pPr>
              <w:adjustRightInd w:val="0"/>
              <w:snapToGrid w:val="0"/>
              <w:spacing w:line="240" w:lineRule="auto"/>
              <w:ind w:firstLine="0" w:firstLineChars="0"/>
              <w:jc w:val="center"/>
              <w:rPr>
                <w:snapToGrid w:val="0"/>
                <w:kern w:val="21"/>
              </w:rPr>
            </w:pPr>
            <w:r>
              <w:rPr>
                <w:rFonts w:hint="eastAsia"/>
                <w:snapToGrid w:val="0"/>
                <w:kern w:val="21"/>
                <w:lang w:val="en-US" w:eastAsia="zh-CN"/>
              </w:rPr>
              <w:t>0.009t</w:t>
            </w:r>
            <w:r>
              <w:rPr>
                <w:snapToGrid w:val="0"/>
                <w:kern w:val="21"/>
              </w:rPr>
              <w:t>/a</w:t>
            </w:r>
          </w:p>
        </w:tc>
      </w:tr>
      <w:tr w14:paraId="0C682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96" w:type="dxa"/>
            <w:vMerge w:val="continue"/>
            <w:vAlign w:val="center"/>
          </w:tcPr>
          <w:p w14:paraId="4F47E1A0">
            <w:pPr>
              <w:pStyle w:val="59"/>
              <w:spacing w:beforeLines="0" w:afterLines="0" w:line="240" w:lineRule="auto"/>
              <w:ind w:left="0" w:firstLine="0" w:firstLineChars="0"/>
              <w:rPr>
                <w:rFonts w:ascii="Times New Roman"/>
                <w:snapToGrid w:val="0"/>
                <w:kern w:val="21"/>
                <w:sz w:val="24"/>
                <w:szCs w:val="24"/>
              </w:rPr>
            </w:pPr>
          </w:p>
        </w:tc>
        <w:tc>
          <w:tcPr>
            <w:tcW w:w="1603" w:type="dxa"/>
            <w:vAlign w:val="center"/>
          </w:tcPr>
          <w:p w14:paraId="16CF45BD">
            <w:pPr>
              <w:adjustRightInd w:val="0"/>
              <w:snapToGrid w:val="0"/>
              <w:spacing w:line="240" w:lineRule="auto"/>
              <w:ind w:firstLine="0" w:firstLineChars="0"/>
              <w:jc w:val="center"/>
              <w:rPr>
                <w:rFonts w:hint="eastAsia" w:eastAsia="宋体"/>
                <w:snapToGrid w:val="0"/>
                <w:kern w:val="21"/>
                <w:lang w:eastAsia="zh-CN"/>
              </w:rPr>
            </w:pPr>
            <w:r>
              <w:rPr>
                <w:rFonts w:hint="eastAsia"/>
                <w:snapToGrid w:val="0"/>
                <w:kern w:val="21"/>
                <w:lang w:val="en-US" w:eastAsia="zh-CN"/>
              </w:rPr>
              <w:t>非甲烷总烃</w:t>
            </w:r>
          </w:p>
        </w:tc>
        <w:tc>
          <w:tcPr>
            <w:tcW w:w="1925" w:type="dxa"/>
            <w:vAlign w:val="center"/>
          </w:tcPr>
          <w:p w14:paraId="57C17857">
            <w:pPr>
              <w:adjustRightInd w:val="0"/>
              <w:snapToGrid w:val="0"/>
              <w:spacing w:line="240" w:lineRule="auto"/>
              <w:ind w:firstLine="0" w:firstLineChars="0"/>
              <w:jc w:val="center"/>
              <w:rPr>
                <w:snapToGrid w:val="0"/>
                <w:kern w:val="21"/>
              </w:rPr>
            </w:pPr>
            <w:r>
              <w:rPr>
                <w:snapToGrid w:val="0"/>
                <w:kern w:val="21"/>
              </w:rPr>
              <w:t>/</w:t>
            </w:r>
          </w:p>
        </w:tc>
        <w:tc>
          <w:tcPr>
            <w:tcW w:w="1443" w:type="dxa"/>
            <w:vAlign w:val="center"/>
          </w:tcPr>
          <w:p w14:paraId="116F74A4">
            <w:pPr>
              <w:adjustRightInd w:val="0"/>
              <w:snapToGrid w:val="0"/>
              <w:spacing w:line="240" w:lineRule="auto"/>
              <w:ind w:firstLine="0" w:firstLineChars="0"/>
              <w:jc w:val="center"/>
              <w:rPr>
                <w:snapToGrid w:val="0"/>
                <w:kern w:val="21"/>
              </w:rPr>
            </w:pPr>
            <w:r>
              <w:rPr>
                <w:snapToGrid w:val="0"/>
                <w:kern w:val="21"/>
              </w:rPr>
              <w:t>/</w:t>
            </w:r>
          </w:p>
        </w:tc>
        <w:tc>
          <w:tcPr>
            <w:tcW w:w="1925" w:type="dxa"/>
            <w:vAlign w:val="center"/>
          </w:tcPr>
          <w:p w14:paraId="413F316F">
            <w:pPr>
              <w:adjustRightInd w:val="0"/>
              <w:snapToGrid w:val="0"/>
              <w:spacing w:line="240" w:lineRule="auto"/>
              <w:ind w:firstLine="0" w:firstLineChars="0"/>
              <w:jc w:val="center"/>
              <w:rPr>
                <w:snapToGrid w:val="0"/>
                <w:kern w:val="21"/>
              </w:rPr>
            </w:pPr>
            <w:r>
              <w:rPr>
                <w:snapToGrid w:val="0"/>
                <w:kern w:val="21"/>
              </w:rPr>
              <w:t>/</w:t>
            </w:r>
          </w:p>
        </w:tc>
        <w:tc>
          <w:tcPr>
            <w:tcW w:w="1763" w:type="dxa"/>
            <w:vAlign w:val="center"/>
          </w:tcPr>
          <w:p w14:paraId="777BDAD2">
            <w:pPr>
              <w:adjustRightInd w:val="0"/>
              <w:snapToGrid w:val="0"/>
              <w:spacing w:line="240" w:lineRule="auto"/>
              <w:ind w:firstLine="0" w:firstLineChars="0"/>
              <w:jc w:val="center"/>
              <w:rPr>
                <w:snapToGrid w:val="0"/>
                <w:kern w:val="21"/>
              </w:rPr>
            </w:pPr>
            <w:r>
              <w:rPr>
                <w:rFonts w:hint="eastAsia"/>
                <w:snapToGrid w:val="0"/>
                <w:kern w:val="21"/>
                <w:lang w:val="en-US" w:eastAsia="zh-CN"/>
              </w:rPr>
              <w:t>1.435t</w:t>
            </w:r>
            <w:r>
              <w:rPr>
                <w:snapToGrid w:val="0"/>
                <w:kern w:val="21"/>
              </w:rPr>
              <w:t>/a</w:t>
            </w:r>
          </w:p>
        </w:tc>
        <w:tc>
          <w:tcPr>
            <w:tcW w:w="1753" w:type="dxa"/>
            <w:vAlign w:val="center"/>
          </w:tcPr>
          <w:p w14:paraId="730DB3FE">
            <w:pPr>
              <w:adjustRightInd w:val="0"/>
              <w:snapToGrid w:val="0"/>
              <w:spacing w:line="240" w:lineRule="auto"/>
              <w:ind w:firstLine="0" w:firstLineChars="0"/>
              <w:jc w:val="center"/>
              <w:rPr>
                <w:snapToGrid w:val="0"/>
                <w:kern w:val="21"/>
              </w:rPr>
            </w:pPr>
          </w:p>
        </w:tc>
        <w:tc>
          <w:tcPr>
            <w:tcW w:w="2095" w:type="dxa"/>
            <w:vAlign w:val="center"/>
          </w:tcPr>
          <w:p w14:paraId="4CE95943">
            <w:pPr>
              <w:adjustRightInd w:val="0"/>
              <w:snapToGrid w:val="0"/>
              <w:spacing w:line="240" w:lineRule="auto"/>
              <w:ind w:firstLine="0" w:firstLineChars="0"/>
              <w:jc w:val="center"/>
              <w:rPr>
                <w:snapToGrid w:val="0"/>
                <w:kern w:val="21"/>
              </w:rPr>
            </w:pPr>
            <w:r>
              <w:rPr>
                <w:rFonts w:hint="eastAsia"/>
                <w:snapToGrid w:val="0"/>
                <w:kern w:val="21"/>
                <w:lang w:val="en-US" w:eastAsia="zh-CN"/>
              </w:rPr>
              <w:t>1.435t</w:t>
            </w:r>
            <w:r>
              <w:rPr>
                <w:snapToGrid w:val="0"/>
                <w:kern w:val="21"/>
              </w:rPr>
              <w:t>/a</w:t>
            </w:r>
          </w:p>
        </w:tc>
        <w:tc>
          <w:tcPr>
            <w:tcW w:w="1708" w:type="dxa"/>
            <w:vAlign w:val="center"/>
          </w:tcPr>
          <w:p w14:paraId="7AF18D47">
            <w:pPr>
              <w:adjustRightInd w:val="0"/>
              <w:snapToGrid w:val="0"/>
              <w:spacing w:line="240" w:lineRule="auto"/>
              <w:ind w:firstLine="0" w:firstLineChars="0"/>
              <w:jc w:val="center"/>
              <w:rPr>
                <w:snapToGrid w:val="0"/>
                <w:kern w:val="21"/>
              </w:rPr>
            </w:pPr>
            <w:r>
              <w:rPr>
                <w:rFonts w:hint="eastAsia"/>
                <w:snapToGrid w:val="0"/>
                <w:kern w:val="21"/>
                <w:lang w:val="en-US" w:eastAsia="zh-CN"/>
              </w:rPr>
              <w:t>1.435t</w:t>
            </w:r>
            <w:r>
              <w:rPr>
                <w:snapToGrid w:val="0"/>
                <w:kern w:val="21"/>
              </w:rPr>
              <w:t>/a</w:t>
            </w:r>
          </w:p>
        </w:tc>
      </w:tr>
      <w:tr w14:paraId="7F88B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96" w:type="dxa"/>
            <w:vMerge w:val="restart"/>
            <w:vAlign w:val="center"/>
          </w:tcPr>
          <w:p w14:paraId="5A46A6AE">
            <w:pPr>
              <w:pStyle w:val="59"/>
              <w:spacing w:beforeLines="0" w:afterLines="0" w:line="240" w:lineRule="auto"/>
              <w:ind w:left="0" w:firstLine="0" w:firstLineChars="0"/>
              <w:rPr>
                <w:rFonts w:ascii="Times New Roman"/>
                <w:snapToGrid w:val="0"/>
                <w:kern w:val="21"/>
                <w:sz w:val="24"/>
                <w:szCs w:val="24"/>
              </w:rPr>
            </w:pPr>
            <w:r>
              <w:rPr>
                <w:rFonts w:ascii="Times New Roman"/>
                <w:snapToGrid w:val="0"/>
                <w:kern w:val="21"/>
                <w:sz w:val="24"/>
                <w:szCs w:val="24"/>
              </w:rPr>
              <w:t>废水</w:t>
            </w:r>
          </w:p>
        </w:tc>
        <w:tc>
          <w:tcPr>
            <w:tcW w:w="1603" w:type="dxa"/>
            <w:vAlign w:val="center"/>
          </w:tcPr>
          <w:p w14:paraId="1869FFCE">
            <w:pPr>
              <w:pStyle w:val="59"/>
              <w:spacing w:beforeLines="0" w:afterLines="0" w:line="240" w:lineRule="auto"/>
              <w:ind w:left="0" w:firstLine="0" w:firstLineChars="0"/>
              <w:rPr>
                <w:rFonts w:ascii="Times New Roman"/>
                <w:snapToGrid w:val="0"/>
                <w:kern w:val="21"/>
                <w:sz w:val="24"/>
                <w:szCs w:val="24"/>
              </w:rPr>
            </w:pPr>
            <w:r>
              <w:rPr>
                <w:rFonts w:ascii="Times New Roman"/>
                <w:kern w:val="2"/>
                <w:sz w:val="24"/>
                <w:szCs w:val="24"/>
              </w:rPr>
              <w:t>COD</w:t>
            </w:r>
            <w:r>
              <w:rPr>
                <w:rFonts w:ascii="Times New Roman"/>
                <w:kern w:val="2"/>
                <w:sz w:val="24"/>
                <w:szCs w:val="24"/>
                <w:vertAlign w:val="subscript"/>
              </w:rPr>
              <w:t>Cr</w:t>
            </w:r>
          </w:p>
        </w:tc>
        <w:tc>
          <w:tcPr>
            <w:tcW w:w="1925" w:type="dxa"/>
            <w:vAlign w:val="center"/>
          </w:tcPr>
          <w:p w14:paraId="5D16BC7A">
            <w:pPr>
              <w:adjustRightInd w:val="0"/>
              <w:snapToGrid w:val="0"/>
              <w:spacing w:line="240" w:lineRule="auto"/>
              <w:ind w:firstLine="0" w:firstLineChars="0"/>
              <w:jc w:val="center"/>
            </w:pPr>
            <w:r>
              <w:rPr>
                <w:snapToGrid w:val="0"/>
                <w:kern w:val="21"/>
              </w:rPr>
              <w:t>/</w:t>
            </w:r>
          </w:p>
        </w:tc>
        <w:tc>
          <w:tcPr>
            <w:tcW w:w="1443" w:type="dxa"/>
            <w:vAlign w:val="center"/>
          </w:tcPr>
          <w:p w14:paraId="5A3B0324">
            <w:pPr>
              <w:adjustRightInd w:val="0"/>
              <w:snapToGrid w:val="0"/>
              <w:spacing w:line="240" w:lineRule="auto"/>
              <w:ind w:firstLine="0" w:firstLineChars="0"/>
              <w:jc w:val="center"/>
            </w:pPr>
            <w:r>
              <w:rPr>
                <w:snapToGrid w:val="0"/>
                <w:kern w:val="21"/>
              </w:rPr>
              <w:t>/</w:t>
            </w:r>
          </w:p>
        </w:tc>
        <w:tc>
          <w:tcPr>
            <w:tcW w:w="1925" w:type="dxa"/>
            <w:vAlign w:val="center"/>
          </w:tcPr>
          <w:p w14:paraId="6A096F77">
            <w:pPr>
              <w:adjustRightInd w:val="0"/>
              <w:snapToGrid w:val="0"/>
              <w:spacing w:line="240" w:lineRule="auto"/>
              <w:ind w:firstLine="0" w:firstLineChars="0"/>
              <w:jc w:val="center"/>
            </w:pPr>
            <w:r>
              <w:rPr>
                <w:snapToGrid w:val="0"/>
                <w:kern w:val="21"/>
              </w:rPr>
              <w:t>/</w:t>
            </w:r>
          </w:p>
        </w:tc>
        <w:tc>
          <w:tcPr>
            <w:tcW w:w="1763" w:type="dxa"/>
            <w:vAlign w:val="center"/>
          </w:tcPr>
          <w:p w14:paraId="40978444">
            <w:pPr>
              <w:adjustRightInd w:val="0"/>
              <w:snapToGrid w:val="0"/>
              <w:spacing w:line="240" w:lineRule="auto"/>
              <w:ind w:firstLine="0" w:firstLineChars="0"/>
              <w:jc w:val="center"/>
            </w:pPr>
            <w:r>
              <w:rPr>
                <w:rFonts w:hint="eastAsia"/>
                <w:lang w:val="en-US" w:eastAsia="zh-CN"/>
              </w:rPr>
              <w:t>0.015</w:t>
            </w:r>
            <w:r>
              <w:t>t/a</w:t>
            </w:r>
          </w:p>
        </w:tc>
        <w:tc>
          <w:tcPr>
            <w:tcW w:w="1753" w:type="dxa"/>
            <w:vAlign w:val="center"/>
          </w:tcPr>
          <w:p w14:paraId="6E958E38">
            <w:pPr>
              <w:adjustRightInd w:val="0"/>
              <w:snapToGrid w:val="0"/>
              <w:spacing w:line="240" w:lineRule="auto"/>
              <w:ind w:firstLine="0" w:firstLineChars="0"/>
              <w:jc w:val="center"/>
              <w:rPr>
                <w:snapToGrid w:val="0"/>
                <w:kern w:val="21"/>
                <w:sz w:val="32"/>
                <w:szCs w:val="32"/>
              </w:rPr>
            </w:pPr>
          </w:p>
        </w:tc>
        <w:tc>
          <w:tcPr>
            <w:tcW w:w="2095" w:type="dxa"/>
            <w:vAlign w:val="center"/>
          </w:tcPr>
          <w:p w14:paraId="59A379BB">
            <w:pPr>
              <w:adjustRightInd w:val="0"/>
              <w:snapToGrid w:val="0"/>
              <w:spacing w:line="240" w:lineRule="auto"/>
              <w:ind w:firstLine="0" w:firstLineChars="0"/>
              <w:jc w:val="center"/>
            </w:pPr>
            <w:r>
              <w:rPr>
                <w:rFonts w:hint="eastAsia"/>
                <w:lang w:val="en-US" w:eastAsia="zh-CN"/>
              </w:rPr>
              <w:t>0.015</w:t>
            </w:r>
            <w:r>
              <w:t>t/a</w:t>
            </w:r>
          </w:p>
        </w:tc>
        <w:tc>
          <w:tcPr>
            <w:tcW w:w="1708" w:type="dxa"/>
            <w:vAlign w:val="center"/>
          </w:tcPr>
          <w:p w14:paraId="71DF4333">
            <w:pPr>
              <w:adjustRightInd w:val="0"/>
              <w:snapToGrid w:val="0"/>
              <w:spacing w:line="240" w:lineRule="auto"/>
              <w:ind w:firstLine="0" w:firstLineChars="0"/>
              <w:jc w:val="center"/>
            </w:pPr>
            <w:r>
              <w:rPr>
                <w:rFonts w:hint="eastAsia"/>
                <w:lang w:val="en-US" w:eastAsia="zh-CN"/>
              </w:rPr>
              <w:t>0.015</w:t>
            </w:r>
            <w:r>
              <w:t>t/a</w:t>
            </w:r>
          </w:p>
        </w:tc>
      </w:tr>
      <w:tr w14:paraId="02B0E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14:paraId="3CA41B3B">
            <w:pPr>
              <w:pStyle w:val="59"/>
              <w:spacing w:beforeLines="0" w:afterLines="0" w:line="240" w:lineRule="auto"/>
              <w:ind w:left="0" w:firstLine="0" w:firstLineChars="0"/>
              <w:rPr>
                <w:rFonts w:ascii="Times New Roman"/>
                <w:snapToGrid w:val="0"/>
                <w:kern w:val="21"/>
                <w:sz w:val="24"/>
                <w:szCs w:val="24"/>
              </w:rPr>
            </w:pPr>
          </w:p>
        </w:tc>
        <w:tc>
          <w:tcPr>
            <w:tcW w:w="1603" w:type="dxa"/>
            <w:vAlign w:val="center"/>
          </w:tcPr>
          <w:p w14:paraId="67F34B75">
            <w:pPr>
              <w:pStyle w:val="65"/>
              <w:widowControl w:val="0"/>
              <w:pBdr>
                <w:left w:val="none" w:color="auto" w:sz="0" w:space="0"/>
                <w:bottom w:val="none" w:color="auto" w:sz="0" w:space="0"/>
                <w:right w:val="none" w:color="auto" w:sz="0" w:space="0"/>
              </w:pBdr>
              <w:adjustRightInd w:val="0"/>
              <w:snapToGrid w:val="0"/>
              <w:spacing w:before="0" w:beforeAutospacing="0" w:after="0" w:afterAutospacing="0" w:line="240" w:lineRule="auto"/>
              <w:ind w:firstLine="0" w:firstLineChars="0"/>
              <w:rPr>
                <w:rFonts w:ascii="Times New Roman" w:hAnsi="Times New Roman"/>
                <w:kern w:val="2"/>
                <w:sz w:val="24"/>
                <w:szCs w:val="24"/>
              </w:rPr>
            </w:pPr>
            <w:r>
              <w:rPr>
                <w:rFonts w:ascii="Times New Roman" w:hAnsi="Times New Roman"/>
                <w:kern w:val="2"/>
                <w:sz w:val="24"/>
                <w:szCs w:val="24"/>
              </w:rPr>
              <w:t>BOD</w:t>
            </w:r>
            <w:r>
              <w:rPr>
                <w:rFonts w:ascii="Times New Roman" w:hAnsi="Times New Roman"/>
                <w:kern w:val="2"/>
                <w:sz w:val="24"/>
                <w:szCs w:val="24"/>
                <w:vertAlign w:val="subscript"/>
              </w:rPr>
              <w:t>5</w:t>
            </w:r>
          </w:p>
        </w:tc>
        <w:tc>
          <w:tcPr>
            <w:tcW w:w="1925" w:type="dxa"/>
            <w:vAlign w:val="center"/>
          </w:tcPr>
          <w:p w14:paraId="36E5C83D">
            <w:pPr>
              <w:adjustRightInd w:val="0"/>
              <w:snapToGrid w:val="0"/>
              <w:spacing w:line="240" w:lineRule="auto"/>
              <w:ind w:firstLine="0" w:firstLineChars="0"/>
              <w:jc w:val="center"/>
            </w:pPr>
            <w:r>
              <w:rPr>
                <w:snapToGrid w:val="0"/>
                <w:kern w:val="21"/>
              </w:rPr>
              <w:t>/</w:t>
            </w:r>
          </w:p>
        </w:tc>
        <w:tc>
          <w:tcPr>
            <w:tcW w:w="1443" w:type="dxa"/>
            <w:vAlign w:val="center"/>
          </w:tcPr>
          <w:p w14:paraId="0EAD3576">
            <w:pPr>
              <w:adjustRightInd w:val="0"/>
              <w:snapToGrid w:val="0"/>
              <w:spacing w:line="240" w:lineRule="auto"/>
              <w:ind w:firstLine="0" w:firstLineChars="0"/>
              <w:jc w:val="center"/>
            </w:pPr>
            <w:r>
              <w:rPr>
                <w:snapToGrid w:val="0"/>
                <w:kern w:val="21"/>
              </w:rPr>
              <w:t>/</w:t>
            </w:r>
          </w:p>
        </w:tc>
        <w:tc>
          <w:tcPr>
            <w:tcW w:w="1925" w:type="dxa"/>
            <w:vAlign w:val="center"/>
          </w:tcPr>
          <w:p w14:paraId="4AC273FC">
            <w:pPr>
              <w:adjustRightInd w:val="0"/>
              <w:snapToGrid w:val="0"/>
              <w:spacing w:line="240" w:lineRule="auto"/>
              <w:ind w:firstLine="0" w:firstLineChars="0"/>
              <w:jc w:val="center"/>
            </w:pPr>
            <w:r>
              <w:rPr>
                <w:snapToGrid w:val="0"/>
                <w:kern w:val="21"/>
              </w:rPr>
              <w:t>/</w:t>
            </w:r>
          </w:p>
        </w:tc>
        <w:tc>
          <w:tcPr>
            <w:tcW w:w="1763" w:type="dxa"/>
            <w:vAlign w:val="center"/>
          </w:tcPr>
          <w:p w14:paraId="1F76E29B">
            <w:pPr>
              <w:adjustRightInd w:val="0"/>
              <w:snapToGrid w:val="0"/>
              <w:spacing w:line="240" w:lineRule="auto"/>
              <w:ind w:firstLine="0" w:firstLineChars="0"/>
              <w:jc w:val="center"/>
              <w:rPr>
                <w:szCs w:val="32"/>
              </w:rPr>
            </w:pPr>
            <w:r>
              <w:rPr>
                <w:rFonts w:hint="eastAsia"/>
                <w:szCs w:val="32"/>
                <w:lang w:val="en-US" w:eastAsia="zh-CN"/>
              </w:rPr>
              <w:t>0.007</w:t>
            </w:r>
            <w:r>
              <w:t>t/a</w:t>
            </w:r>
          </w:p>
        </w:tc>
        <w:tc>
          <w:tcPr>
            <w:tcW w:w="1753" w:type="dxa"/>
            <w:vAlign w:val="center"/>
          </w:tcPr>
          <w:p w14:paraId="6039A8EF">
            <w:pPr>
              <w:adjustRightInd w:val="0"/>
              <w:snapToGrid w:val="0"/>
              <w:spacing w:line="240" w:lineRule="auto"/>
              <w:ind w:firstLine="0" w:firstLineChars="0"/>
              <w:jc w:val="center"/>
              <w:rPr>
                <w:snapToGrid w:val="0"/>
                <w:kern w:val="21"/>
                <w:sz w:val="32"/>
                <w:szCs w:val="32"/>
              </w:rPr>
            </w:pPr>
          </w:p>
        </w:tc>
        <w:tc>
          <w:tcPr>
            <w:tcW w:w="2095" w:type="dxa"/>
            <w:vAlign w:val="center"/>
          </w:tcPr>
          <w:p w14:paraId="68A427F5">
            <w:pPr>
              <w:adjustRightInd w:val="0"/>
              <w:snapToGrid w:val="0"/>
              <w:spacing w:line="240" w:lineRule="auto"/>
              <w:ind w:firstLine="0" w:firstLineChars="0"/>
              <w:jc w:val="center"/>
              <w:rPr>
                <w:szCs w:val="32"/>
              </w:rPr>
            </w:pPr>
            <w:r>
              <w:rPr>
                <w:rFonts w:hint="eastAsia"/>
                <w:szCs w:val="32"/>
                <w:lang w:val="en-US" w:eastAsia="zh-CN"/>
              </w:rPr>
              <w:t>0.007</w:t>
            </w:r>
            <w:r>
              <w:t>t/a</w:t>
            </w:r>
          </w:p>
        </w:tc>
        <w:tc>
          <w:tcPr>
            <w:tcW w:w="1708" w:type="dxa"/>
            <w:vAlign w:val="center"/>
          </w:tcPr>
          <w:p w14:paraId="0E59852C">
            <w:pPr>
              <w:adjustRightInd w:val="0"/>
              <w:snapToGrid w:val="0"/>
              <w:spacing w:line="240" w:lineRule="auto"/>
              <w:ind w:firstLine="0" w:firstLineChars="0"/>
              <w:jc w:val="center"/>
              <w:rPr>
                <w:szCs w:val="32"/>
              </w:rPr>
            </w:pPr>
            <w:r>
              <w:rPr>
                <w:rFonts w:hint="eastAsia"/>
                <w:szCs w:val="32"/>
                <w:lang w:val="en-US" w:eastAsia="zh-CN"/>
              </w:rPr>
              <w:t>0.007</w:t>
            </w:r>
            <w:r>
              <w:t>t/a</w:t>
            </w:r>
          </w:p>
        </w:tc>
      </w:tr>
      <w:tr w14:paraId="0897A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14:paraId="364CF05E">
            <w:pPr>
              <w:pStyle w:val="59"/>
              <w:spacing w:beforeLines="0" w:afterLines="0" w:line="240" w:lineRule="auto"/>
              <w:ind w:left="0" w:firstLine="0" w:firstLineChars="0"/>
              <w:rPr>
                <w:rFonts w:ascii="Times New Roman"/>
                <w:snapToGrid w:val="0"/>
                <w:kern w:val="21"/>
                <w:sz w:val="24"/>
                <w:szCs w:val="24"/>
              </w:rPr>
            </w:pPr>
          </w:p>
        </w:tc>
        <w:tc>
          <w:tcPr>
            <w:tcW w:w="1603" w:type="dxa"/>
            <w:vAlign w:val="center"/>
          </w:tcPr>
          <w:p w14:paraId="75DBB00F">
            <w:pPr>
              <w:pStyle w:val="59"/>
              <w:spacing w:beforeLines="0" w:afterLines="0" w:line="240" w:lineRule="auto"/>
              <w:ind w:left="0" w:firstLine="0" w:firstLineChars="0"/>
              <w:rPr>
                <w:rFonts w:ascii="Times New Roman"/>
                <w:snapToGrid w:val="0"/>
                <w:kern w:val="21"/>
                <w:sz w:val="24"/>
                <w:szCs w:val="24"/>
              </w:rPr>
            </w:pPr>
            <w:r>
              <w:rPr>
                <w:rFonts w:ascii="Times New Roman"/>
                <w:kern w:val="2"/>
                <w:sz w:val="24"/>
                <w:szCs w:val="24"/>
              </w:rPr>
              <w:t>SS</w:t>
            </w:r>
          </w:p>
        </w:tc>
        <w:tc>
          <w:tcPr>
            <w:tcW w:w="1925" w:type="dxa"/>
            <w:vAlign w:val="center"/>
          </w:tcPr>
          <w:p w14:paraId="7EF533D9">
            <w:pPr>
              <w:adjustRightInd w:val="0"/>
              <w:snapToGrid w:val="0"/>
              <w:spacing w:line="240" w:lineRule="auto"/>
              <w:ind w:firstLine="0" w:firstLineChars="0"/>
              <w:jc w:val="center"/>
              <w:rPr>
                <w:snapToGrid w:val="0"/>
                <w:kern w:val="21"/>
              </w:rPr>
            </w:pPr>
            <w:r>
              <w:rPr>
                <w:snapToGrid w:val="0"/>
                <w:kern w:val="21"/>
              </w:rPr>
              <w:t>/</w:t>
            </w:r>
          </w:p>
        </w:tc>
        <w:tc>
          <w:tcPr>
            <w:tcW w:w="1443" w:type="dxa"/>
            <w:vAlign w:val="center"/>
          </w:tcPr>
          <w:p w14:paraId="3643F006">
            <w:pPr>
              <w:adjustRightInd w:val="0"/>
              <w:snapToGrid w:val="0"/>
              <w:spacing w:line="240" w:lineRule="auto"/>
              <w:ind w:firstLine="0" w:firstLineChars="0"/>
              <w:jc w:val="center"/>
              <w:rPr>
                <w:snapToGrid w:val="0"/>
                <w:kern w:val="21"/>
              </w:rPr>
            </w:pPr>
            <w:r>
              <w:rPr>
                <w:snapToGrid w:val="0"/>
                <w:kern w:val="21"/>
              </w:rPr>
              <w:t>/</w:t>
            </w:r>
          </w:p>
        </w:tc>
        <w:tc>
          <w:tcPr>
            <w:tcW w:w="1925" w:type="dxa"/>
            <w:vAlign w:val="center"/>
          </w:tcPr>
          <w:p w14:paraId="0F5150F9">
            <w:pPr>
              <w:adjustRightInd w:val="0"/>
              <w:snapToGrid w:val="0"/>
              <w:spacing w:line="240" w:lineRule="auto"/>
              <w:ind w:firstLine="0" w:firstLineChars="0"/>
              <w:jc w:val="center"/>
              <w:rPr>
                <w:snapToGrid w:val="0"/>
                <w:kern w:val="21"/>
              </w:rPr>
            </w:pPr>
            <w:r>
              <w:rPr>
                <w:snapToGrid w:val="0"/>
                <w:kern w:val="21"/>
              </w:rPr>
              <w:t>/</w:t>
            </w:r>
          </w:p>
        </w:tc>
        <w:tc>
          <w:tcPr>
            <w:tcW w:w="1763" w:type="dxa"/>
            <w:vAlign w:val="center"/>
          </w:tcPr>
          <w:p w14:paraId="6106964D">
            <w:pPr>
              <w:adjustRightInd w:val="0"/>
              <w:snapToGrid w:val="0"/>
              <w:spacing w:line="240" w:lineRule="auto"/>
              <w:ind w:firstLine="0" w:firstLineChars="0"/>
              <w:jc w:val="center"/>
            </w:pPr>
            <w:r>
              <w:rPr>
                <w:rFonts w:hint="eastAsia"/>
                <w:lang w:val="en-US" w:eastAsia="zh-CN"/>
              </w:rPr>
              <w:t>0.005</w:t>
            </w:r>
            <w:r>
              <w:t>t/a</w:t>
            </w:r>
          </w:p>
        </w:tc>
        <w:tc>
          <w:tcPr>
            <w:tcW w:w="1753" w:type="dxa"/>
            <w:vAlign w:val="center"/>
          </w:tcPr>
          <w:p w14:paraId="3DD46FE5">
            <w:pPr>
              <w:adjustRightInd w:val="0"/>
              <w:snapToGrid w:val="0"/>
              <w:spacing w:line="240" w:lineRule="auto"/>
              <w:ind w:firstLine="0" w:firstLineChars="0"/>
              <w:jc w:val="center"/>
              <w:rPr>
                <w:snapToGrid w:val="0"/>
                <w:kern w:val="21"/>
                <w:sz w:val="32"/>
                <w:szCs w:val="32"/>
              </w:rPr>
            </w:pPr>
          </w:p>
        </w:tc>
        <w:tc>
          <w:tcPr>
            <w:tcW w:w="2095" w:type="dxa"/>
            <w:vAlign w:val="center"/>
          </w:tcPr>
          <w:p w14:paraId="15E2E7F3">
            <w:pPr>
              <w:adjustRightInd w:val="0"/>
              <w:snapToGrid w:val="0"/>
              <w:spacing w:line="240" w:lineRule="auto"/>
              <w:ind w:firstLine="0" w:firstLineChars="0"/>
              <w:jc w:val="center"/>
            </w:pPr>
            <w:r>
              <w:rPr>
                <w:rFonts w:hint="eastAsia"/>
                <w:lang w:val="en-US" w:eastAsia="zh-CN"/>
              </w:rPr>
              <w:t>0.005</w:t>
            </w:r>
            <w:r>
              <w:t>t/a</w:t>
            </w:r>
          </w:p>
        </w:tc>
        <w:tc>
          <w:tcPr>
            <w:tcW w:w="1708" w:type="dxa"/>
            <w:vAlign w:val="center"/>
          </w:tcPr>
          <w:p w14:paraId="0F4B3A64">
            <w:pPr>
              <w:adjustRightInd w:val="0"/>
              <w:snapToGrid w:val="0"/>
              <w:spacing w:line="240" w:lineRule="auto"/>
              <w:ind w:firstLine="0" w:firstLineChars="0"/>
              <w:jc w:val="center"/>
            </w:pPr>
            <w:r>
              <w:rPr>
                <w:rFonts w:hint="eastAsia"/>
                <w:lang w:val="en-US" w:eastAsia="zh-CN"/>
              </w:rPr>
              <w:t>0.005</w:t>
            </w:r>
            <w:r>
              <w:t>t/a</w:t>
            </w:r>
          </w:p>
        </w:tc>
      </w:tr>
      <w:tr w14:paraId="5FE0D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96" w:type="dxa"/>
            <w:vMerge w:val="continue"/>
            <w:vAlign w:val="center"/>
          </w:tcPr>
          <w:p w14:paraId="306006FB">
            <w:pPr>
              <w:pStyle w:val="59"/>
              <w:spacing w:beforeLines="0" w:afterLines="0" w:line="240" w:lineRule="auto"/>
              <w:ind w:left="0" w:firstLine="0" w:firstLineChars="0"/>
              <w:rPr>
                <w:rFonts w:ascii="Times New Roman"/>
                <w:snapToGrid w:val="0"/>
                <w:kern w:val="21"/>
                <w:sz w:val="24"/>
                <w:szCs w:val="24"/>
              </w:rPr>
            </w:pPr>
          </w:p>
        </w:tc>
        <w:tc>
          <w:tcPr>
            <w:tcW w:w="1603" w:type="dxa"/>
            <w:vAlign w:val="center"/>
          </w:tcPr>
          <w:p w14:paraId="4379AFA0">
            <w:pPr>
              <w:pStyle w:val="59"/>
              <w:spacing w:beforeLines="0" w:afterLines="0" w:line="240" w:lineRule="auto"/>
              <w:ind w:left="0" w:firstLine="0" w:firstLineChars="0"/>
              <w:rPr>
                <w:rFonts w:ascii="Times New Roman"/>
                <w:snapToGrid w:val="0"/>
                <w:kern w:val="21"/>
                <w:sz w:val="24"/>
                <w:szCs w:val="24"/>
              </w:rPr>
            </w:pPr>
            <w:r>
              <w:rPr>
                <w:rFonts w:ascii="Times New Roman"/>
                <w:sz w:val="24"/>
                <w:szCs w:val="24"/>
              </w:rPr>
              <w:t>氨氮</w:t>
            </w:r>
          </w:p>
        </w:tc>
        <w:tc>
          <w:tcPr>
            <w:tcW w:w="1925" w:type="dxa"/>
            <w:vAlign w:val="center"/>
          </w:tcPr>
          <w:p w14:paraId="6D24FC53">
            <w:pPr>
              <w:adjustRightInd w:val="0"/>
              <w:snapToGrid w:val="0"/>
              <w:spacing w:line="240" w:lineRule="auto"/>
              <w:ind w:firstLine="0" w:firstLineChars="0"/>
              <w:jc w:val="center"/>
              <w:rPr>
                <w:snapToGrid w:val="0"/>
                <w:kern w:val="21"/>
              </w:rPr>
            </w:pPr>
            <w:r>
              <w:rPr>
                <w:snapToGrid w:val="0"/>
                <w:kern w:val="21"/>
              </w:rPr>
              <w:t>/</w:t>
            </w:r>
          </w:p>
        </w:tc>
        <w:tc>
          <w:tcPr>
            <w:tcW w:w="1443" w:type="dxa"/>
            <w:vAlign w:val="center"/>
          </w:tcPr>
          <w:p w14:paraId="2F405D56">
            <w:pPr>
              <w:adjustRightInd w:val="0"/>
              <w:snapToGrid w:val="0"/>
              <w:spacing w:line="240" w:lineRule="auto"/>
              <w:ind w:firstLine="0" w:firstLineChars="0"/>
              <w:jc w:val="center"/>
              <w:rPr>
                <w:snapToGrid w:val="0"/>
                <w:kern w:val="21"/>
              </w:rPr>
            </w:pPr>
            <w:r>
              <w:rPr>
                <w:snapToGrid w:val="0"/>
                <w:kern w:val="21"/>
              </w:rPr>
              <w:t>/</w:t>
            </w:r>
          </w:p>
        </w:tc>
        <w:tc>
          <w:tcPr>
            <w:tcW w:w="1925" w:type="dxa"/>
            <w:vAlign w:val="center"/>
          </w:tcPr>
          <w:p w14:paraId="42488775">
            <w:pPr>
              <w:adjustRightInd w:val="0"/>
              <w:snapToGrid w:val="0"/>
              <w:spacing w:line="240" w:lineRule="auto"/>
              <w:ind w:firstLine="0" w:firstLineChars="0"/>
              <w:jc w:val="center"/>
              <w:rPr>
                <w:snapToGrid w:val="0"/>
                <w:kern w:val="21"/>
              </w:rPr>
            </w:pPr>
            <w:r>
              <w:rPr>
                <w:snapToGrid w:val="0"/>
                <w:kern w:val="21"/>
              </w:rPr>
              <w:t>/</w:t>
            </w:r>
          </w:p>
        </w:tc>
        <w:tc>
          <w:tcPr>
            <w:tcW w:w="1763" w:type="dxa"/>
            <w:vAlign w:val="center"/>
          </w:tcPr>
          <w:p w14:paraId="30922867">
            <w:pPr>
              <w:adjustRightInd w:val="0"/>
              <w:snapToGrid w:val="0"/>
              <w:spacing w:line="240" w:lineRule="auto"/>
              <w:ind w:firstLine="0" w:firstLineChars="0"/>
              <w:jc w:val="center"/>
            </w:pPr>
            <w:r>
              <w:rPr>
                <w:rFonts w:hint="eastAsia"/>
                <w:lang w:val="en-US" w:eastAsia="zh-CN"/>
              </w:rPr>
              <w:t>0.002</w:t>
            </w:r>
            <w:r>
              <w:t>t/a</w:t>
            </w:r>
          </w:p>
        </w:tc>
        <w:tc>
          <w:tcPr>
            <w:tcW w:w="1753" w:type="dxa"/>
            <w:vAlign w:val="center"/>
          </w:tcPr>
          <w:p w14:paraId="7DC2E901">
            <w:pPr>
              <w:adjustRightInd w:val="0"/>
              <w:snapToGrid w:val="0"/>
              <w:spacing w:line="240" w:lineRule="auto"/>
              <w:ind w:firstLine="0" w:firstLineChars="0"/>
              <w:jc w:val="center"/>
              <w:rPr>
                <w:snapToGrid w:val="0"/>
                <w:kern w:val="21"/>
                <w:sz w:val="32"/>
                <w:szCs w:val="32"/>
              </w:rPr>
            </w:pPr>
          </w:p>
        </w:tc>
        <w:tc>
          <w:tcPr>
            <w:tcW w:w="2095" w:type="dxa"/>
            <w:vAlign w:val="center"/>
          </w:tcPr>
          <w:p w14:paraId="0E0605FE">
            <w:pPr>
              <w:adjustRightInd w:val="0"/>
              <w:snapToGrid w:val="0"/>
              <w:spacing w:line="240" w:lineRule="auto"/>
              <w:ind w:firstLine="0" w:firstLineChars="0"/>
              <w:jc w:val="center"/>
            </w:pPr>
            <w:r>
              <w:rPr>
                <w:rFonts w:hint="eastAsia"/>
                <w:lang w:val="en-US" w:eastAsia="zh-CN"/>
              </w:rPr>
              <w:t>0.002</w:t>
            </w:r>
            <w:r>
              <w:t>t/a</w:t>
            </w:r>
          </w:p>
        </w:tc>
        <w:tc>
          <w:tcPr>
            <w:tcW w:w="1708" w:type="dxa"/>
            <w:vAlign w:val="center"/>
          </w:tcPr>
          <w:p w14:paraId="7EB2F945">
            <w:pPr>
              <w:adjustRightInd w:val="0"/>
              <w:snapToGrid w:val="0"/>
              <w:spacing w:line="240" w:lineRule="auto"/>
              <w:ind w:firstLine="0" w:firstLineChars="0"/>
              <w:jc w:val="center"/>
            </w:pPr>
            <w:r>
              <w:rPr>
                <w:rFonts w:hint="eastAsia"/>
                <w:lang w:val="en-US" w:eastAsia="zh-CN"/>
              </w:rPr>
              <w:t>0.002</w:t>
            </w:r>
            <w:r>
              <w:t>t/a</w:t>
            </w:r>
          </w:p>
        </w:tc>
      </w:tr>
      <w:tr w14:paraId="7DCE1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96" w:type="dxa"/>
            <w:vMerge w:val="restart"/>
            <w:vAlign w:val="center"/>
          </w:tcPr>
          <w:p w14:paraId="171367C9">
            <w:pPr>
              <w:pStyle w:val="59"/>
              <w:spacing w:beforeLines="0" w:afterLines="0" w:line="240" w:lineRule="auto"/>
              <w:ind w:left="0" w:firstLine="0" w:firstLineChars="0"/>
              <w:rPr>
                <w:rFonts w:ascii="Times New Roman"/>
                <w:snapToGrid w:val="0"/>
                <w:kern w:val="21"/>
                <w:sz w:val="24"/>
                <w:szCs w:val="24"/>
              </w:rPr>
            </w:pPr>
            <w:r>
              <w:rPr>
                <w:rFonts w:ascii="Times New Roman"/>
                <w:snapToGrid w:val="0"/>
                <w:kern w:val="21"/>
                <w:sz w:val="24"/>
                <w:szCs w:val="24"/>
              </w:rPr>
              <w:t>一般</w:t>
            </w:r>
          </w:p>
          <w:p w14:paraId="0A0C8E9B">
            <w:pPr>
              <w:pStyle w:val="59"/>
              <w:spacing w:beforeLines="0" w:afterLines="0" w:line="240" w:lineRule="auto"/>
              <w:ind w:left="0" w:firstLine="0" w:firstLineChars="0"/>
              <w:rPr>
                <w:rFonts w:ascii="Times New Roman"/>
                <w:snapToGrid w:val="0"/>
                <w:kern w:val="21"/>
                <w:sz w:val="24"/>
                <w:szCs w:val="24"/>
              </w:rPr>
            </w:pPr>
            <w:r>
              <w:rPr>
                <w:rFonts w:ascii="Times New Roman"/>
                <w:snapToGrid w:val="0"/>
                <w:kern w:val="21"/>
                <w:sz w:val="24"/>
                <w:szCs w:val="24"/>
              </w:rPr>
              <w:t>固体废物</w:t>
            </w:r>
          </w:p>
        </w:tc>
        <w:tc>
          <w:tcPr>
            <w:tcW w:w="1603" w:type="dxa"/>
            <w:vAlign w:val="center"/>
          </w:tcPr>
          <w:p w14:paraId="47708B0B">
            <w:pPr>
              <w:adjustRightInd w:val="0"/>
              <w:snapToGrid w:val="0"/>
              <w:spacing w:line="240" w:lineRule="auto"/>
              <w:ind w:firstLine="0" w:firstLineChars="0"/>
              <w:jc w:val="center"/>
              <w:rPr>
                <w:snapToGrid w:val="0"/>
                <w:kern w:val="21"/>
              </w:rPr>
            </w:pPr>
            <w:r>
              <w:rPr>
                <w:snapToGrid w:val="0"/>
                <w:kern w:val="21"/>
              </w:rPr>
              <w:t>生活垃圾</w:t>
            </w:r>
          </w:p>
        </w:tc>
        <w:tc>
          <w:tcPr>
            <w:tcW w:w="1925" w:type="dxa"/>
            <w:vAlign w:val="center"/>
          </w:tcPr>
          <w:p w14:paraId="4684C7AA">
            <w:pPr>
              <w:adjustRightInd w:val="0"/>
              <w:snapToGrid w:val="0"/>
              <w:spacing w:line="240" w:lineRule="auto"/>
              <w:ind w:firstLine="0" w:firstLineChars="0"/>
              <w:jc w:val="center"/>
              <w:rPr>
                <w:snapToGrid w:val="0"/>
                <w:kern w:val="21"/>
              </w:rPr>
            </w:pPr>
            <w:r>
              <w:rPr>
                <w:snapToGrid w:val="0"/>
                <w:kern w:val="21"/>
              </w:rPr>
              <w:t>/</w:t>
            </w:r>
          </w:p>
        </w:tc>
        <w:tc>
          <w:tcPr>
            <w:tcW w:w="1443" w:type="dxa"/>
            <w:vAlign w:val="center"/>
          </w:tcPr>
          <w:p w14:paraId="57E7FC30">
            <w:pPr>
              <w:adjustRightInd w:val="0"/>
              <w:snapToGrid w:val="0"/>
              <w:spacing w:line="240" w:lineRule="auto"/>
              <w:ind w:firstLine="0" w:firstLineChars="0"/>
              <w:jc w:val="center"/>
              <w:rPr>
                <w:snapToGrid w:val="0"/>
                <w:kern w:val="21"/>
              </w:rPr>
            </w:pPr>
            <w:r>
              <w:rPr>
                <w:snapToGrid w:val="0"/>
                <w:kern w:val="21"/>
              </w:rPr>
              <w:t>/</w:t>
            </w:r>
          </w:p>
        </w:tc>
        <w:tc>
          <w:tcPr>
            <w:tcW w:w="1925" w:type="dxa"/>
            <w:vAlign w:val="center"/>
          </w:tcPr>
          <w:p w14:paraId="5FB09099">
            <w:pPr>
              <w:adjustRightInd w:val="0"/>
              <w:snapToGrid w:val="0"/>
              <w:spacing w:line="240" w:lineRule="auto"/>
              <w:ind w:firstLine="0" w:firstLineChars="0"/>
              <w:jc w:val="center"/>
              <w:rPr>
                <w:snapToGrid w:val="0"/>
                <w:kern w:val="21"/>
              </w:rPr>
            </w:pPr>
            <w:r>
              <w:rPr>
                <w:snapToGrid w:val="0"/>
                <w:kern w:val="21"/>
              </w:rPr>
              <w:t>/</w:t>
            </w:r>
          </w:p>
        </w:tc>
        <w:tc>
          <w:tcPr>
            <w:tcW w:w="1763" w:type="dxa"/>
            <w:vAlign w:val="center"/>
          </w:tcPr>
          <w:p w14:paraId="5A97939E">
            <w:pPr>
              <w:adjustRightInd w:val="0"/>
              <w:snapToGrid w:val="0"/>
              <w:spacing w:line="240" w:lineRule="auto"/>
              <w:ind w:firstLine="0" w:firstLineChars="0"/>
              <w:jc w:val="center"/>
            </w:pPr>
            <w:r>
              <w:rPr>
                <w:rFonts w:hint="eastAsia"/>
                <w:lang w:val="en-US" w:eastAsia="zh-CN"/>
              </w:rPr>
              <w:t>2</w:t>
            </w:r>
            <w:r>
              <w:t>t/a</w:t>
            </w:r>
          </w:p>
        </w:tc>
        <w:tc>
          <w:tcPr>
            <w:tcW w:w="1753" w:type="dxa"/>
            <w:vAlign w:val="center"/>
          </w:tcPr>
          <w:p w14:paraId="25543DC4">
            <w:pPr>
              <w:adjustRightInd w:val="0"/>
              <w:snapToGrid w:val="0"/>
              <w:spacing w:line="240" w:lineRule="auto"/>
              <w:ind w:firstLine="0" w:firstLineChars="0"/>
              <w:jc w:val="center"/>
              <w:rPr>
                <w:snapToGrid w:val="0"/>
                <w:kern w:val="21"/>
              </w:rPr>
            </w:pPr>
          </w:p>
        </w:tc>
        <w:tc>
          <w:tcPr>
            <w:tcW w:w="2095" w:type="dxa"/>
            <w:vAlign w:val="center"/>
          </w:tcPr>
          <w:p w14:paraId="4D3E2D4C">
            <w:pPr>
              <w:adjustRightInd w:val="0"/>
              <w:snapToGrid w:val="0"/>
              <w:spacing w:line="240" w:lineRule="auto"/>
              <w:ind w:firstLine="0" w:firstLineChars="0"/>
              <w:jc w:val="center"/>
            </w:pPr>
            <w:r>
              <w:rPr>
                <w:rFonts w:hint="eastAsia"/>
                <w:lang w:val="en-US" w:eastAsia="zh-CN"/>
              </w:rPr>
              <w:t>2</w:t>
            </w:r>
            <w:r>
              <w:t>t/a</w:t>
            </w:r>
          </w:p>
        </w:tc>
        <w:tc>
          <w:tcPr>
            <w:tcW w:w="1708" w:type="dxa"/>
            <w:vAlign w:val="center"/>
          </w:tcPr>
          <w:p w14:paraId="3EDF90F0">
            <w:pPr>
              <w:adjustRightInd w:val="0"/>
              <w:snapToGrid w:val="0"/>
              <w:spacing w:line="240" w:lineRule="auto"/>
              <w:ind w:firstLine="0" w:firstLineChars="0"/>
              <w:jc w:val="center"/>
            </w:pPr>
            <w:r>
              <w:rPr>
                <w:rFonts w:hint="eastAsia"/>
                <w:lang w:val="en-US" w:eastAsia="zh-CN"/>
              </w:rPr>
              <w:t>2</w:t>
            </w:r>
            <w:r>
              <w:t>t/a</w:t>
            </w:r>
          </w:p>
        </w:tc>
      </w:tr>
      <w:tr w14:paraId="5C51B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96" w:type="dxa"/>
            <w:vMerge w:val="continue"/>
            <w:vAlign w:val="center"/>
          </w:tcPr>
          <w:p w14:paraId="11000C8F">
            <w:pPr>
              <w:pStyle w:val="59"/>
              <w:spacing w:beforeLines="0" w:afterLines="0" w:line="240" w:lineRule="auto"/>
              <w:ind w:left="0" w:firstLine="0" w:firstLineChars="0"/>
              <w:rPr>
                <w:rFonts w:ascii="Times New Roman"/>
                <w:snapToGrid w:val="0"/>
                <w:kern w:val="21"/>
                <w:sz w:val="24"/>
                <w:szCs w:val="24"/>
              </w:rPr>
            </w:pPr>
          </w:p>
        </w:tc>
        <w:tc>
          <w:tcPr>
            <w:tcW w:w="1603" w:type="dxa"/>
            <w:vAlign w:val="center"/>
          </w:tcPr>
          <w:p w14:paraId="291D6819">
            <w:pPr>
              <w:adjustRightInd w:val="0"/>
              <w:snapToGrid w:val="0"/>
              <w:spacing w:line="240" w:lineRule="auto"/>
              <w:ind w:firstLine="0" w:firstLineChars="0"/>
              <w:jc w:val="center"/>
              <w:rPr>
                <w:rFonts w:hint="default" w:eastAsia="宋体"/>
                <w:snapToGrid w:val="0"/>
                <w:kern w:val="21"/>
                <w:lang w:val="en-US" w:eastAsia="zh-CN"/>
              </w:rPr>
            </w:pPr>
            <w:r>
              <w:rPr>
                <w:rFonts w:hint="eastAsia"/>
                <w:snapToGrid w:val="0"/>
                <w:kern w:val="21"/>
                <w:lang w:val="en-US" w:eastAsia="zh-CN"/>
              </w:rPr>
              <w:t>废包装袋、废包装桶</w:t>
            </w:r>
          </w:p>
        </w:tc>
        <w:tc>
          <w:tcPr>
            <w:tcW w:w="1925" w:type="dxa"/>
            <w:vAlign w:val="center"/>
          </w:tcPr>
          <w:p w14:paraId="6DE7655B">
            <w:pPr>
              <w:adjustRightInd w:val="0"/>
              <w:snapToGrid w:val="0"/>
              <w:spacing w:line="240" w:lineRule="auto"/>
              <w:ind w:firstLine="0" w:firstLineChars="0"/>
              <w:jc w:val="center"/>
              <w:rPr>
                <w:snapToGrid w:val="0"/>
                <w:kern w:val="21"/>
              </w:rPr>
            </w:pPr>
          </w:p>
        </w:tc>
        <w:tc>
          <w:tcPr>
            <w:tcW w:w="1443" w:type="dxa"/>
            <w:vAlign w:val="center"/>
          </w:tcPr>
          <w:p w14:paraId="2B144F72">
            <w:pPr>
              <w:adjustRightInd w:val="0"/>
              <w:snapToGrid w:val="0"/>
              <w:spacing w:line="240" w:lineRule="auto"/>
              <w:ind w:firstLine="0" w:firstLineChars="0"/>
              <w:jc w:val="center"/>
              <w:rPr>
                <w:snapToGrid w:val="0"/>
                <w:kern w:val="21"/>
              </w:rPr>
            </w:pPr>
          </w:p>
        </w:tc>
        <w:tc>
          <w:tcPr>
            <w:tcW w:w="1925" w:type="dxa"/>
            <w:vAlign w:val="center"/>
          </w:tcPr>
          <w:p w14:paraId="3BC224C8">
            <w:pPr>
              <w:adjustRightInd w:val="0"/>
              <w:snapToGrid w:val="0"/>
              <w:spacing w:line="240" w:lineRule="auto"/>
              <w:ind w:firstLine="0" w:firstLineChars="0"/>
              <w:jc w:val="center"/>
              <w:rPr>
                <w:snapToGrid w:val="0"/>
                <w:kern w:val="21"/>
              </w:rPr>
            </w:pPr>
          </w:p>
        </w:tc>
        <w:tc>
          <w:tcPr>
            <w:tcW w:w="1763" w:type="dxa"/>
            <w:vAlign w:val="center"/>
          </w:tcPr>
          <w:p w14:paraId="6401DACD">
            <w:pPr>
              <w:adjustRightInd w:val="0"/>
              <w:snapToGrid w:val="0"/>
              <w:spacing w:line="240" w:lineRule="auto"/>
              <w:ind w:firstLine="0" w:firstLineChars="0"/>
              <w:jc w:val="center"/>
            </w:pPr>
            <w:r>
              <w:rPr>
                <w:rFonts w:hint="eastAsia"/>
                <w:lang w:val="en-US" w:eastAsia="zh-CN"/>
              </w:rPr>
              <w:t>2</w:t>
            </w:r>
            <w:r>
              <w:t>t/a</w:t>
            </w:r>
          </w:p>
        </w:tc>
        <w:tc>
          <w:tcPr>
            <w:tcW w:w="1753" w:type="dxa"/>
            <w:vAlign w:val="center"/>
          </w:tcPr>
          <w:p w14:paraId="0813B61A">
            <w:pPr>
              <w:adjustRightInd w:val="0"/>
              <w:snapToGrid w:val="0"/>
              <w:spacing w:line="240" w:lineRule="auto"/>
              <w:ind w:firstLine="0" w:firstLineChars="0"/>
              <w:jc w:val="center"/>
              <w:rPr>
                <w:snapToGrid w:val="0"/>
                <w:kern w:val="21"/>
              </w:rPr>
            </w:pPr>
          </w:p>
        </w:tc>
        <w:tc>
          <w:tcPr>
            <w:tcW w:w="2095" w:type="dxa"/>
            <w:vAlign w:val="center"/>
          </w:tcPr>
          <w:p w14:paraId="279D3E46">
            <w:pPr>
              <w:adjustRightInd w:val="0"/>
              <w:snapToGrid w:val="0"/>
              <w:spacing w:line="240" w:lineRule="auto"/>
              <w:ind w:firstLine="0" w:firstLineChars="0"/>
              <w:jc w:val="center"/>
            </w:pPr>
            <w:r>
              <w:rPr>
                <w:rFonts w:hint="eastAsia"/>
                <w:lang w:val="en-US" w:eastAsia="zh-CN"/>
              </w:rPr>
              <w:t>2</w:t>
            </w:r>
            <w:r>
              <w:t>t/a</w:t>
            </w:r>
          </w:p>
        </w:tc>
        <w:tc>
          <w:tcPr>
            <w:tcW w:w="1708" w:type="dxa"/>
            <w:vAlign w:val="center"/>
          </w:tcPr>
          <w:p w14:paraId="2225197E">
            <w:pPr>
              <w:adjustRightInd w:val="0"/>
              <w:snapToGrid w:val="0"/>
              <w:spacing w:line="240" w:lineRule="auto"/>
              <w:ind w:firstLine="0" w:firstLineChars="0"/>
              <w:jc w:val="center"/>
            </w:pPr>
            <w:r>
              <w:rPr>
                <w:rFonts w:hint="eastAsia"/>
                <w:lang w:val="en-US" w:eastAsia="zh-CN"/>
              </w:rPr>
              <w:t>2</w:t>
            </w:r>
            <w:r>
              <w:t>t/a</w:t>
            </w:r>
          </w:p>
        </w:tc>
      </w:tr>
      <w:tr w14:paraId="6E5E6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96" w:type="dxa"/>
            <w:vMerge w:val="continue"/>
            <w:vAlign w:val="center"/>
          </w:tcPr>
          <w:p w14:paraId="0BB6931B">
            <w:pPr>
              <w:pStyle w:val="59"/>
              <w:spacing w:beforeLines="0" w:afterLines="0" w:line="240" w:lineRule="auto"/>
              <w:ind w:left="0" w:firstLine="0" w:firstLineChars="0"/>
              <w:rPr>
                <w:rFonts w:ascii="Times New Roman"/>
                <w:snapToGrid w:val="0"/>
                <w:kern w:val="21"/>
                <w:sz w:val="24"/>
                <w:szCs w:val="24"/>
              </w:rPr>
            </w:pPr>
          </w:p>
        </w:tc>
        <w:tc>
          <w:tcPr>
            <w:tcW w:w="1603" w:type="dxa"/>
            <w:vAlign w:val="center"/>
          </w:tcPr>
          <w:p w14:paraId="40E02132">
            <w:pPr>
              <w:adjustRightInd w:val="0"/>
              <w:snapToGrid w:val="0"/>
              <w:spacing w:line="240" w:lineRule="auto"/>
              <w:ind w:firstLine="0" w:firstLineChars="0"/>
              <w:jc w:val="center"/>
              <w:rPr>
                <w:rFonts w:hint="default" w:eastAsia="宋体"/>
                <w:snapToGrid w:val="0"/>
                <w:kern w:val="21"/>
                <w:lang w:val="en-US" w:eastAsia="zh-CN"/>
              </w:rPr>
            </w:pPr>
            <w:r>
              <w:rPr>
                <w:rFonts w:hint="eastAsia"/>
                <w:snapToGrid w:val="0"/>
                <w:kern w:val="21"/>
                <w:lang w:val="en-US" w:eastAsia="zh-CN"/>
              </w:rPr>
              <w:t>集尘</w:t>
            </w:r>
          </w:p>
        </w:tc>
        <w:tc>
          <w:tcPr>
            <w:tcW w:w="1925" w:type="dxa"/>
            <w:vAlign w:val="center"/>
          </w:tcPr>
          <w:p w14:paraId="735C5B11">
            <w:pPr>
              <w:adjustRightInd w:val="0"/>
              <w:snapToGrid w:val="0"/>
              <w:spacing w:line="240" w:lineRule="auto"/>
              <w:ind w:firstLine="0" w:firstLineChars="0"/>
              <w:jc w:val="center"/>
              <w:rPr>
                <w:snapToGrid w:val="0"/>
                <w:kern w:val="21"/>
              </w:rPr>
            </w:pPr>
          </w:p>
        </w:tc>
        <w:tc>
          <w:tcPr>
            <w:tcW w:w="1443" w:type="dxa"/>
            <w:vAlign w:val="center"/>
          </w:tcPr>
          <w:p w14:paraId="2BBAA2A7">
            <w:pPr>
              <w:adjustRightInd w:val="0"/>
              <w:snapToGrid w:val="0"/>
              <w:spacing w:line="240" w:lineRule="auto"/>
              <w:ind w:firstLine="0" w:firstLineChars="0"/>
              <w:jc w:val="center"/>
              <w:rPr>
                <w:snapToGrid w:val="0"/>
                <w:kern w:val="21"/>
              </w:rPr>
            </w:pPr>
          </w:p>
        </w:tc>
        <w:tc>
          <w:tcPr>
            <w:tcW w:w="1925" w:type="dxa"/>
            <w:vAlign w:val="center"/>
          </w:tcPr>
          <w:p w14:paraId="5A65C449">
            <w:pPr>
              <w:adjustRightInd w:val="0"/>
              <w:snapToGrid w:val="0"/>
              <w:spacing w:line="240" w:lineRule="auto"/>
              <w:ind w:firstLine="0" w:firstLineChars="0"/>
              <w:jc w:val="center"/>
              <w:rPr>
                <w:snapToGrid w:val="0"/>
                <w:kern w:val="21"/>
              </w:rPr>
            </w:pPr>
          </w:p>
        </w:tc>
        <w:tc>
          <w:tcPr>
            <w:tcW w:w="1763" w:type="dxa"/>
            <w:vAlign w:val="center"/>
          </w:tcPr>
          <w:p w14:paraId="09DDFEED">
            <w:pPr>
              <w:adjustRightInd w:val="0"/>
              <w:snapToGrid w:val="0"/>
              <w:spacing w:line="240" w:lineRule="auto"/>
              <w:ind w:firstLine="0" w:firstLineChars="0"/>
              <w:jc w:val="center"/>
              <w:rPr>
                <w:rFonts w:hint="default" w:eastAsia="宋体"/>
                <w:lang w:val="en-US" w:eastAsia="zh-CN"/>
              </w:rPr>
            </w:pPr>
            <w:r>
              <w:rPr>
                <w:rFonts w:hint="eastAsia"/>
                <w:lang w:val="en-US" w:eastAsia="zh-CN"/>
              </w:rPr>
              <w:t>0.022</w:t>
            </w:r>
            <w:r>
              <w:t>t/a</w:t>
            </w:r>
          </w:p>
        </w:tc>
        <w:tc>
          <w:tcPr>
            <w:tcW w:w="1753" w:type="dxa"/>
            <w:vAlign w:val="center"/>
          </w:tcPr>
          <w:p w14:paraId="6424AF3B">
            <w:pPr>
              <w:adjustRightInd w:val="0"/>
              <w:snapToGrid w:val="0"/>
              <w:spacing w:line="240" w:lineRule="auto"/>
              <w:ind w:firstLine="0" w:firstLineChars="0"/>
              <w:jc w:val="center"/>
              <w:rPr>
                <w:snapToGrid w:val="0"/>
                <w:kern w:val="21"/>
              </w:rPr>
            </w:pPr>
          </w:p>
        </w:tc>
        <w:tc>
          <w:tcPr>
            <w:tcW w:w="2095" w:type="dxa"/>
            <w:vAlign w:val="center"/>
          </w:tcPr>
          <w:p w14:paraId="50661019">
            <w:pPr>
              <w:adjustRightInd w:val="0"/>
              <w:snapToGrid w:val="0"/>
              <w:spacing w:line="240" w:lineRule="auto"/>
              <w:ind w:firstLine="0" w:firstLineChars="0"/>
              <w:jc w:val="center"/>
            </w:pPr>
            <w:r>
              <w:rPr>
                <w:rFonts w:hint="eastAsia"/>
                <w:lang w:val="en-US" w:eastAsia="zh-CN"/>
              </w:rPr>
              <w:t>0.022</w:t>
            </w:r>
            <w:r>
              <w:t>t/a</w:t>
            </w:r>
          </w:p>
        </w:tc>
        <w:tc>
          <w:tcPr>
            <w:tcW w:w="1708" w:type="dxa"/>
            <w:vAlign w:val="center"/>
          </w:tcPr>
          <w:p w14:paraId="690FD2AC">
            <w:pPr>
              <w:adjustRightInd w:val="0"/>
              <w:snapToGrid w:val="0"/>
              <w:spacing w:line="240" w:lineRule="auto"/>
              <w:ind w:firstLine="0" w:firstLineChars="0"/>
              <w:jc w:val="center"/>
            </w:pPr>
            <w:r>
              <w:rPr>
                <w:rFonts w:hint="eastAsia"/>
                <w:lang w:val="en-US" w:eastAsia="zh-CN"/>
              </w:rPr>
              <w:t>0.022</w:t>
            </w:r>
            <w:r>
              <w:t>t/a</w:t>
            </w:r>
          </w:p>
        </w:tc>
      </w:tr>
      <w:tr w14:paraId="02810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96" w:type="dxa"/>
            <w:vMerge w:val="restart"/>
            <w:vAlign w:val="center"/>
          </w:tcPr>
          <w:p w14:paraId="7B4835E2">
            <w:pPr>
              <w:pStyle w:val="59"/>
              <w:spacing w:beforeLines="0" w:afterLines="0" w:line="240" w:lineRule="auto"/>
              <w:ind w:left="0" w:firstLine="0" w:firstLineChars="0"/>
              <w:rPr>
                <w:rFonts w:ascii="Times New Roman"/>
                <w:snapToGrid w:val="0"/>
                <w:kern w:val="21"/>
                <w:sz w:val="24"/>
                <w:szCs w:val="24"/>
              </w:rPr>
            </w:pPr>
            <w:r>
              <w:rPr>
                <w:rFonts w:ascii="Times New Roman"/>
                <w:snapToGrid w:val="0"/>
                <w:kern w:val="21"/>
                <w:sz w:val="24"/>
                <w:szCs w:val="24"/>
              </w:rPr>
              <w:t>危险废物</w:t>
            </w:r>
          </w:p>
        </w:tc>
        <w:tc>
          <w:tcPr>
            <w:tcW w:w="1603" w:type="dxa"/>
            <w:vAlign w:val="center"/>
          </w:tcPr>
          <w:p w14:paraId="782FE7DA">
            <w:pPr>
              <w:adjustRightInd w:val="0"/>
              <w:snapToGrid w:val="0"/>
              <w:spacing w:line="240" w:lineRule="auto"/>
              <w:ind w:firstLine="0" w:firstLineChars="0"/>
              <w:jc w:val="center"/>
              <w:rPr>
                <w:rFonts w:hint="eastAsia" w:eastAsia="宋体"/>
                <w:snapToGrid w:val="0"/>
                <w:kern w:val="21"/>
                <w:lang w:eastAsia="zh-CN"/>
              </w:rPr>
            </w:pPr>
            <w:r>
              <w:rPr>
                <w:rFonts w:hint="eastAsia"/>
                <w:snapToGrid w:val="0"/>
                <w:kern w:val="21"/>
                <w:lang w:val="en-US" w:eastAsia="zh-CN"/>
              </w:rPr>
              <w:t>废机油</w:t>
            </w:r>
          </w:p>
        </w:tc>
        <w:tc>
          <w:tcPr>
            <w:tcW w:w="1925" w:type="dxa"/>
            <w:vAlign w:val="center"/>
          </w:tcPr>
          <w:p w14:paraId="28197001">
            <w:pPr>
              <w:adjustRightInd w:val="0"/>
              <w:snapToGrid w:val="0"/>
              <w:spacing w:line="240" w:lineRule="auto"/>
              <w:ind w:firstLine="0" w:firstLineChars="0"/>
              <w:jc w:val="center"/>
              <w:rPr>
                <w:snapToGrid w:val="0"/>
                <w:kern w:val="21"/>
              </w:rPr>
            </w:pPr>
            <w:r>
              <w:rPr>
                <w:snapToGrid w:val="0"/>
                <w:kern w:val="21"/>
              </w:rPr>
              <w:t>/</w:t>
            </w:r>
          </w:p>
        </w:tc>
        <w:tc>
          <w:tcPr>
            <w:tcW w:w="1443" w:type="dxa"/>
            <w:vAlign w:val="center"/>
          </w:tcPr>
          <w:p w14:paraId="39FA7588">
            <w:pPr>
              <w:adjustRightInd w:val="0"/>
              <w:snapToGrid w:val="0"/>
              <w:spacing w:line="240" w:lineRule="auto"/>
              <w:ind w:firstLine="0" w:firstLineChars="0"/>
              <w:jc w:val="center"/>
              <w:rPr>
                <w:snapToGrid w:val="0"/>
                <w:kern w:val="21"/>
              </w:rPr>
            </w:pPr>
            <w:r>
              <w:rPr>
                <w:snapToGrid w:val="0"/>
                <w:kern w:val="21"/>
              </w:rPr>
              <w:t>/</w:t>
            </w:r>
          </w:p>
        </w:tc>
        <w:tc>
          <w:tcPr>
            <w:tcW w:w="1925" w:type="dxa"/>
            <w:vAlign w:val="center"/>
          </w:tcPr>
          <w:p w14:paraId="6371DE81">
            <w:pPr>
              <w:adjustRightInd w:val="0"/>
              <w:snapToGrid w:val="0"/>
              <w:spacing w:line="240" w:lineRule="auto"/>
              <w:ind w:firstLine="0" w:firstLineChars="0"/>
              <w:jc w:val="center"/>
              <w:rPr>
                <w:snapToGrid w:val="0"/>
                <w:kern w:val="21"/>
              </w:rPr>
            </w:pPr>
            <w:r>
              <w:rPr>
                <w:snapToGrid w:val="0"/>
                <w:kern w:val="21"/>
              </w:rPr>
              <w:t>/</w:t>
            </w:r>
          </w:p>
        </w:tc>
        <w:tc>
          <w:tcPr>
            <w:tcW w:w="1763" w:type="dxa"/>
            <w:vAlign w:val="center"/>
          </w:tcPr>
          <w:p w14:paraId="2358F7C1">
            <w:pPr>
              <w:adjustRightInd w:val="0"/>
              <w:snapToGrid w:val="0"/>
              <w:spacing w:line="240" w:lineRule="auto"/>
              <w:ind w:firstLine="0" w:firstLineChars="0"/>
              <w:jc w:val="center"/>
            </w:pPr>
            <w:r>
              <w:rPr>
                <w:rFonts w:hint="eastAsia"/>
                <w:lang w:val="en-US" w:eastAsia="zh-CN"/>
              </w:rPr>
              <w:t>0.2</w:t>
            </w:r>
            <w:r>
              <w:t>t/a</w:t>
            </w:r>
          </w:p>
        </w:tc>
        <w:tc>
          <w:tcPr>
            <w:tcW w:w="1753" w:type="dxa"/>
            <w:vAlign w:val="center"/>
          </w:tcPr>
          <w:p w14:paraId="6EF5A2C2">
            <w:pPr>
              <w:adjustRightInd w:val="0"/>
              <w:snapToGrid w:val="0"/>
              <w:spacing w:line="240" w:lineRule="auto"/>
              <w:ind w:firstLine="0" w:firstLineChars="0"/>
              <w:jc w:val="center"/>
              <w:rPr>
                <w:snapToGrid w:val="0"/>
                <w:kern w:val="21"/>
              </w:rPr>
            </w:pPr>
          </w:p>
        </w:tc>
        <w:tc>
          <w:tcPr>
            <w:tcW w:w="2095" w:type="dxa"/>
            <w:vAlign w:val="center"/>
          </w:tcPr>
          <w:p w14:paraId="0C8E7AFE">
            <w:pPr>
              <w:adjustRightInd w:val="0"/>
              <w:snapToGrid w:val="0"/>
              <w:spacing w:line="240" w:lineRule="auto"/>
              <w:ind w:firstLine="0" w:firstLineChars="0"/>
              <w:jc w:val="center"/>
            </w:pPr>
            <w:r>
              <w:rPr>
                <w:rFonts w:hint="eastAsia"/>
                <w:lang w:val="en-US" w:eastAsia="zh-CN"/>
              </w:rPr>
              <w:t>0.2</w:t>
            </w:r>
            <w:r>
              <w:t>t/a</w:t>
            </w:r>
          </w:p>
        </w:tc>
        <w:tc>
          <w:tcPr>
            <w:tcW w:w="1708" w:type="dxa"/>
            <w:vAlign w:val="center"/>
          </w:tcPr>
          <w:p w14:paraId="1058120A">
            <w:pPr>
              <w:adjustRightInd w:val="0"/>
              <w:snapToGrid w:val="0"/>
              <w:spacing w:line="240" w:lineRule="auto"/>
              <w:ind w:firstLine="0" w:firstLineChars="0"/>
              <w:jc w:val="center"/>
              <w:rPr>
                <w:snapToGrid w:val="0"/>
                <w:kern w:val="21"/>
              </w:rPr>
            </w:pPr>
            <w:r>
              <w:rPr>
                <w:rFonts w:hint="eastAsia"/>
                <w:lang w:val="en-US" w:eastAsia="zh-CN"/>
              </w:rPr>
              <w:t>0.2</w:t>
            </w:r>
            <w:r>
              <w:t>t/a</w:t>
            </w:r>
          </w:p>
        </w:tc>
      </w:tr>
      <w:tr w14:paraId="3597E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96" w:type="dxa"/>
            <w:vMerge w:val="continue"/>
            <w:vAlign w:val="center"/>
          </w:tcPr>
          <w:p w14:paraId="32299E63">
            <w:pPr>
              <w:pStyle w:val="59"/>
              <w:spacing w:beforeLines="0" w:afterLines="0" w:line="240" w:lineRule="auto"/>
              <w:ind w:left="0" w:firstLine="0" w:firstLineChars="0"/>
              <w:rPr>
                <w:rFonts w:ascii="Times New Roman"/>
                <w:snapToGrid w:val="0"/>
                <w:kern w:val="21"/>
                <w:sz w:val="24"/>
                <w:szCs w:val="24"/>
              </w:rPr>
            </w:pPr>
          </w:p>
        </w:tc>
        <w:tc>
          <w:tcPr>
            <w:tcW w:w="1603" w:type="dxa"/>
            <w:vAlign w:val="center"/>
          </w:tcPr>
          <w:p w14:paraId="2CB9FB5D">
            <w:pPr>
              <w:adjustRightInd w:val="0"/>
              <w:snapToGrid w:val="0"/>
              <w:spacing w:line="240" w:lineRule="auto"/>
              <w:ind w:firstLine="0" w:firstLineChars="0"/>
              <w:jc w:val="center"/>
              <w:rPr>
                <w:rFonts w:hint="eastAsia" w:eastAsia="宋体"/>
                <w:snapToGrid w:val="0"/>
                <w:kern w:val="21"/>
                <w:lang w:eastAsia="zh-CN"/>
              </w:rPr>
            </w:pPr>
            <w:r>
              <w:rPr>
                <w:rFonts w:hint="eastAsia"/>
                <w:snapToGrid w:val="0"/>
                <w:kern w:val="21"/>
                <w:lang w:val="en-US" w:eastAsia="zh-CN"/>
              </w:rPr>
              <w:t>废机油桶</w:t>
            </w:r>
          </w:p>
        </w:tc>
        <w:tc>
          <w:tcPr>
            <w:tcW w:w="1925" w:type="dxa"/>
            <w:vAlign w:val="center"/>
          </w:tcPr>
          <w:p w14:paraId="7E84912D">
            <w:pPr>
              <w:adjustRightInd w:val="0"/>
              <w:snapToGrid w:val="0"/>
              <w:spacing w:line="240" w:lineRule="auto"/>
              <w:ind w:firstLine="0" w:firstLineChars="0"/>
              <w:jc w:val="center"/>
              <w:rPr>
                <w:snapToGrid w:val="0"/>
                <w:kern w:val="21"/>
              </w:rPr>
            </w:pPr>
            <w:r>
              <w:rPr>
                <w:snapToGrid w:val="0"/>
                <w:kern w:val="21"/>
              </w:rPr>
              <w:t>/</w:t>
            </w:r>
          </w:p>
        </w:tc>
        <w:tc>
          <w:tcPr>
            <w:tcW w:w="1443" w:type="dxa"/>
            <w:vAlign w:val="center"/>
          </w:tcPr>
          <w:p w14:paraId="17D5DDFF">
            <w:pPr>
              <w:adjustRightInd w:val="0"/>
              <w:snapToGrid w:val="0"/>
              <w:spacing w:line="240" w:lineRule="auto"/>
              <w:ind w:firstLine="0" w:firstLineChars="0"/>
              <w:jc w:val="center"/>
              <w:rPr>
                <w:snapToGrid w:val="0"/>
                <w:kern w:val="21"/>
              </w:rPr>
            </w:pPr>
            <w:r>
              <w:rPr>
                <w:snapToGrid w:val="0"/>
                <w:kern w:val="21"/>
              </w:rPr>
              <w:t>/</w:t>
            </w:r>
          </w:p>
        </w:tc>
        <w:tc>
          <w:tcPr>
            <w:tcW w:w="1925" w:type="dxa"/>
            <w:vAlign w:val="center"/>
          </w:tcPr>
          <w:p w14:paraId="148AF7E8">
            <w:pPr>
              <w:adjustRightInd w:val="0"/>
              <w:snapToGrid w:val="0"/>
              <w:spacing w:line="240" w:lineRule="auto"/>
              <w:ind w:firstLine="0" w:firstLineChars="0"/>
              <w:jc w:val="center"/>
              <w:rPr>
                <w:snapToGrid w:val="0"/>
                <w:kern w:val="21"/>
              </w:rPr>
            </w:pPr>
            <w:r>
              <w:rPr>
                <w:snapToGrid w:val="0"/>
                <w:kern w:val="21"/>
              </w:rPr>
              <w:t>/</w:t>
            </w:r>
          </w:p>
        </w:tc>
        <w:tc>
          <w:tcPr>
            <w:tcW w:w="1763" w:type="dxa"/>
            <w:vAlign w:val="center"/>
          </w:tcPr>
          <w:p w14:paraId="664ECCB9">
            <w:pPr>
              <w:adjustRightInd w:val="0"/>
              <w:snapToGrid w:val="0"/>
              <w:spacing w:line="240" w:lineRule="auto"/>
              <w:ind w:firstLine="0" w:firstLineChars="0"/>
              <w:jc w:val="center"/>
              <w:rPr>
                <w:rFonts w:hint="default" w:eastAsia="宋体"/>
                <w:lang w:val="en-US" w:eastAsia="zh-CN"/>
              </w:rPr>
            </w:pPr>
            <w:r>
              <w:rPr>
                <w:rFonts w:hint="eastAsia"/>
                <w:lang w:val="en-US" w:eastAsia="zh-CN"/>
              </w:rPr>
              <w:t>0.002</w:t>
            </w:r>
            <w:r>
              <w:t>t/a</w:t>
            </w:r>
          </w:p>
        </w:tc>
        <w:tc>
          <w:tcPr>
            <w:tcW w:w="1753" w:type="dxa"/>
            <w:vAlign w:val="center"/>
          </w:tcPr>
          <w:p w14:paraId="18EEF4CA">
            <w:pPr>
              <w:adjustRightInd w:val="0"/>
              <w:snapToGrid w:val="0"/>
              <w:spacing w:line="240" w:lineRule="auto"/>
              <w:ind w:firstLine="0" w:firstLineChars="0"/>
              <w:jc w:val="center"/>
              <w:rPr>
                <w:snapToGrid w:val="0"/>
                <w:kern w:val="21"/>
              </w:rPr>
            </w:pPr>
          </w:p>
        </w:tc>
        <w:tc>
          <w:tcPr>
            <w:tcW w:w="2095" w:type="dxa"/>
            <w:vAlign w:val="center"/>
          </w:tcPr>
          <w:p w14:paraId="20A6F294">
            <w:pPr>
              <w:adjustRightInd w:val="0"/>
              <w:snapToGrid w:val="0"/>
              <w:spacing w:line="240" w:lineRule="auto"/>
              <w:ind w:firstLine="0" w:firstLineChars="0"/>
              <w:jc w:val="center"/>
            </w:pPr>
            <w:r>
              <w:rPr>
                <w:rFonts w:hint="eastAsia"/>
                <w:lang w:val="en-US" w:eastAsia="zh-CN"/>
              </w:rPr>
              <w:t>0.002</w:t>
            </w:r>
            <w:r>
              <w:t>t/a</w:t>
            </w:r>
          </w:p>
        </w:tc>
        <w:tc>
          <w:tcPr>
            <w:tcW w:w="1708" w:type="dxa"/>
            <w:vAlign w:val="center"/>
          </w:tcPr>
          <w:p w14:paraId="773B3037">
            <w:pPr>
              <w:adjustRightInd w:val="0"/>
              <w:snapToGrid w:val="0"/>
              <w:spacing w:line="240" w:lineRule="auto"/>
              <w:ind w:firstLine="0" w:firstLineChars="0"/>
              <w:jc w:val="center"/>
            </w:pPr>
            <w:r>
              <w:rPr>
                <w:rFonts w:hint="eastAsia"/>
                <w:lang w:val="en-US" w:eastAsia="zh-CN"/>
              </w:rPr>
              <w:t>0.002</w:t>
            </w:r>
            <w:r>
              <w:t>t/a</w:t>
            </w:r>
          </w:p>
        </w:tc>
      </w:tr>
      <w:tr w14:paraId="44FF1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6" w:type="dxa"/>
            <w:vMerge w:val="continue"/>
            <w:vAlign w:val="center"/>
          </w:tcPr>
          <w:p w14:paraId="2256E950">
            <w:pPr>
              <w:pStyle w:val="59"/>
              <w:spacing w:beforeLines="0" w:afterLines="0" w:line="240" w:lineRule="auto"/>
              <w:ind w:left="0" w:firstLine="0" w:firstLineChars="0"/>
              <w:rPr>
                <w:rFonts w:ascii="Times New Roman"/>
                <w:snapToGrid w:val="0"/>
                <w:kern w:val="21"/>
                <w:sz w:val="24"/>
                <w:szCs w:val="24"/>
              </w:rPr>
            </w:pPr>
          </w:p>
        </w:tc>
        <w:tc>
          <w:tcPr>
            <w:tcW w:w="1603" w:type="dxa"/>
            <w:vAlign w:val="center"/>
          </w:tcPr>
          <w:p w14:paraId="67D30DA9">
            <w:pPr>
              <w:adjustRightInd w:val="0"/>
              <w:snapToGrid w:val="0"/>
              <w:spacing w:line="240" w:lineRule="auto"/>
              <w:ind w:firstLine="0" w:firstLineChars="0"/>
              <w:jc w:val="center"/>
              <w:rPr>
                <w:rFonts w:hint="eastAsia" w:eastAsia="宋体"/>
                <w:snapToGrid w:val="0"/>
                <w:kern w:val="21"/>
                <w:lang w:eastAsia="zh-CN"/>
              </w:rPr>
            </w:pPr>
            <w:r>
              <w:rPr>
                <w:rFonts w:hint="eastAsia"/>
                <w:snapToGrid w:val="0"/>
                <w:kern w:val="21"/>
                <w:lang w:val="en-US" w:eastAsia="zh-CN"/>
              </w:rPr>
              <w:t>废溶剂桶</w:t>
            </w:r>
          </w:p>
        </w:tc>
        <w:tc>
          <w:tcPr>
            <w:tcW w:w="1925" w:type="dxa"/>
            <w:vAlign w:val="center"/>
          </w:tcPr>
          <w:p w14:paraId="78942CD4">
            <w:pPr>
              <w:adjustRightInd w:val="0"/>
              <w:snapToGrid w:val="0"/>
              <w:spacing w:line="240" w:lineRule="auto"/>
              <w:ind w:firstLine="0" w:firstLineChars="0"/>
              <w:jc w:val="center"/>
              <w:rPr>
                <w:snapToGrid w:val="0"/>
                <w:kern w:val="21"/>
              </w:rPr>
            </w:pPr>
            <w:r>
              <w:rPr>
                <w:snapToGrid w:val="0"/>
                <w:kern w:val="21"/>
              </w:rPr>
              <w:t>/</w:t>
            </w:r>
          </w:p>
        </w:tc>
        <w:tc>
          <w:tcPr>
            <w:tcW w:w="1443" w:type="dxa"/>
            <w:vAlign w:val="center"/>
          </w:tcPr>
          <w:p w14:paraId="14B13818">
            <w:pPr>
              <w:adjustRightInd w:val="0"/>
              <w:snapToGrid w:val="0"/>
              <w:spacing w:line="240" w:lineRule="auto"/>
              <w:ind w:firstLine="0" w:firstLineChars="0"/>
              <w:jc w:val="center"/>
              <w:rPr>
                <w:snapToGrid w:val="0"/>
                <w:kern w:val="21"/>
              </w:rPr>
            </w:pPr>
            <w:r>
              <w:rPr>
                <w:snapToGrid w:val="0"/>
                <w:kern w:val="21"/>
              </w:rPr>
              <w:t>/</w:t>
            </w:r>
          </w:p>
        </w:tc>
        <w:tc>
          <w:tcPr>
            <w:tcW w:w="1925" w:type="dxa"/>
            <w:vAlign w:val="center"/>
          </w:tcPr>
          <w:p w14:paraId="69D1D62F">
            <w:pPr>
              <w:adjustRightInd w:val="0"/>
              <w:snapToGrid w:val="0"/>
              <w:spacing w:line="240" w:lineRule="auto"/>
              <w:ind w:firstLine="0" w:firstLineChars="0"/>
              <w:jc w:val="center"/>
              <w:rPr>
                <w:snapToGrid w:val="0"/>
                <w:kern w:val="21"/>
              </w:rPr>
            </w:pPr>
            <w:r>
              <w:rPr>
                <w:snapToGrid w:val="0"/>
                <w:kern w:val="21"/>
              </w:rPr>
              <w:t>/</w:t>
            </w:r>
          </w:p>
        </w:tc>
        <w:tc>
          <w:tcPr>
            <w:tcW w:w="1763" w:type="dxa"/>
            <w:vAlign w:val="center"/>
          </w:tcPr>
          <w:p w14:paraId="63A3899D">
            <w:pPr>
              <w:adjustRightInd w:val="0"/>
              <w:snapToGrid w:val="0"/>
              <w:spacing w:line="240" w:lineRule="auto"/>
              <w:ind w:firstLine="0" w:firstLineChars="0"/>
              <w:jc w:val="center"/>
              <w:rPr>
                <w:snapToGrid w:val="0"/>
                <w:kern w:val="21"/>
              </w:rPr>
            </w:pPr>
            <w:r>
              <w:rPr>
                <w:rFonts w:hint="eastAsia"/>
                <w:snapToGrid w:val="0"/>
                <w:kern w:val="21"/>
                <w:lang w:val="en-US" w:eastAsia="zh-CN"/>
              </w:rPr>
              <w:t>0.02</w:t>
            </w:r>
            <w:r>
              <w:t>t/a</w:t>
            </w:r>
          </w:p>
        </w:tc>
        <w:tc>
          <w:tcPr>
            <w:tcW w:w="1753" w:type="dxa"/>
            <w:vAlign w:val="center"/>
          </w:tcPr>
          <w:p w14:paraId="6534D2EE">
            <w:pPr>
              <w:adjustRightInd w:val="0"/>
              <w:snapToGrid w:val="0"/>
              <w:spacing w:line="240" w:lineRule="auto"/>
              <w:ind w:firstLine="0" w:firstLineChars="0"/>
              <w:jc w:val="center"/>
              <w:rPr>
                <w:snapToGrid w:val="0"/>
                <w:kern w:val="21"/>
              </w:rPr>
            </w:pPr>
          </w:p>
        </w:tc>
        <w:tc>
          <w:tcPr>
            <w:tcW w:w="2095" w:type="dxa"/>
            <w:vAlign w:val="center"/>
          </w:tcPr>
          <w:p w14:paraId="302F0352">
            <w:pPr>
              <w:adjustRightInd w:val="0"/>
              <w:snapToGrid w:val="0"/>
              <w:spacing w:line="240" w:lineRule="auto"/>
              <w:ind w:firstLine="0" w:firstLineChars="0"/>
              <w:jc w:val="center"/>
              <w:rPr>
                <w:snapToGrid w:val="0"/>
                <w:kern w:val="21"/>
              </w:rPr>
            </w:pPr>
            <w:r>
              <w:rPr>
                <w:rFonts w:hint="eastAsia"/>
                <w:snapToGrid w:val="0"/>
                <w:kern w:val="21"/>
                <w:lang w:val="en-US" w:eastAsia="zh-CN"/>
              </w:rPr>
              <w:t>0.02</w:t>
            </w:r>
            <w:r>
              <w:t>t/a</w:t>
            </w:r>
          </w:p>
        </w:tc>
        <w:tc>
          <w:tcPr>
            <w:tcW w:w="1708" w:type="dxa"/>
            <w:vAlign w:val="center"/>
          </w:tcPr>
          <w:p w14:paraId="2CD0199D">
            <w:pPr>
              <w:adjustRightInd w:val="0"/>
              <w:snapToGrid w:val="0"/>
              <w:spacing w:line="240" w:lineRule="auto"/>
              <w:ind w:firstLine="0" w:firstLineChars="0"/>
              <w:jc w:val="center"/>
              <w:rPr>
                <w:snapToGrid w:val="0"/>
                <w:kern w:val="21"/>
              </w:rPr>
            </w:pPr>
            <w:r>
              <w:rPr>
                <w:rFonts w:hint="eastAsia"/>
                <w:snapToGrid w:val="0"/>
                <w:kern w:val="21"/>
                <w:lang w:val="en-US" w:eastAsia="zh-CN"/>
              </w:rPr>
              <w:t>0.02</w:t>
            </w:r>
            <w:r>
              <w:t>t/a</w:t>
            </w:r>
          </w:p>
        </w:tc>
      </w:tr>
      <w:tr w14:paraId="65A66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6" w:type="dxa"/>
            <w:vMerge w:val="continue"/>
            <w:vAlign w:val="center"/>
          </w:tcPr>
          <w:p w14:paraId="58E51F37">
            <w:pPr>
              <w:pStyle w:val="59"/>
              <w:spacing w:beforeLines="0" w:afterLines="0" w:line="240" w:lineRule="auto"/>
              <w:ind w:left="0" w:firstLine="0" w:firstLineChars="0"/>
              <w:rPr>
                <w:rFonts w:ascii="Times New Roman"/>
                <w:snapToGrid w:val="0"/>
                <w:kern w:val="21"/>
                <w:sz w:val="24"/>
                <w:szCs w:val="24"/>
              </w:rPr>
            </w:pPr>
          </w:p>
        </w:tc>
        <w:tc>
          <w:tcPr>
            <w:tcW w:w="1603" w:type="dxa"/>
            <w:vAlign w:val="center"/>
          </w:tcPr>
          <w:p w14:paraId="235A1D0A">
            <w:pPr>
              <w:adjustRightInd w:val="0"/>
              <w:snapToGrid w:val="0"/>
              <w:spacing w:line="240" w:lineRule="auto"/>
              <w:ind w:firstLine="0" w:firstLineChars="0"/>
              <w:jc w:val="center"/>
              <w:rPr>
                <w:rFonts w:hint="eastAsia" w:eastAsia="宋体"/>
                <w:snapToGrid w:val="0"/>
                <w:kern w:val="21"/>
                <w:lang w:eastAsia="zh-CN"/>
              </w:rPr>
            </w:pPr>
            <w:r>
              <w:rPr>
                <w:rFonts w:hint="eastAsia"/>
                <w:snapToGrid w:val="0"/>
                <w:kern w:val="21"/>
                <w:lang w:val="en-US" w:eastAsia="zh-CN"/>
              </w:rPr>
              <w:t>废活性炭</w:t>
            </w:r>
          </w:p>
        </w:tc>
        <w:tc>
          <w:tcPr>
            <w:tcW w:w="1925" w:type="dxa"/>
            <w:vAlign w:val="center"/>
          </w:tcPr>
          <w:p w14:paraId="31697800">
            <w:pPr>
              <w:adjustRightInd w:val="0"/>
              <w:snapToGrid w:val="0"/>
              <w:spacing w:line="240" w:lineRule="auto"/>
              <w:ind w:firstLine="0" w:firstLineChars="0"/>
              <w:jc w:val="center"/>
              <w:rPr>
                <w:snapToGrid w:val="0"/>
                <w:kern w:val="21"/>
              </w:rPr>
            </w:pPr>
            <w:r>
              <w:rPr>
                <w:snapToGrid w:val="0"/>
                <w:kern w:val="21"/>
              </w:rPr>
              <w:t>/</w:t>
            </w:r>
          </w:p>
        </w:tc>
        <w:tc>
          <w:tcPr>
            <w:tcW w:w="1443" w:type="dxa"/>
            <w:vAlign w:val="center"/>
          </w:tcPr>
          <w:p w14:paraId="385E181B">
            <w:pPr>
              <w:adjustRightInd w:val="0"/>
              <w:snapToGrid w:val="0"/>
              <w:spacing w:line="240" w:lineRule="auto"/>
              <w:ind w:firstLine="0" w:firstLineChars="0"/>
              <w:jc w:val="center"/>
              <w:rPr>
                <w:snapToGrid w:val="0"/>
                <w:kern w:val="21"/>
              </w:rPr>
            </w:pPr>
            <w:r>
              <w:rPr>
                <w:snapToGrid w:val="0"/>
                <w:kern w:val="21"/>
              </w:rPr>
              <w:t>/</w:t>
            </w:r>
          </w:p>
        </w:tc>
        <w:tc>
          <w:tcPr>
            <w:tcW w:w="1925" w:type="dxa"/>
            <w:vAlign w:val="center"/>
          </w:tcPr>
          <w:p w14:paraId="55140793">
            <w:pPr>
              <w:adjustRightInd w:val="0"/>
              <w:snapToGrid w:val="0"/>
              <w:spacing w:line="240" w:lineRule="auto"/>
              <w:ind w:firstLine="0" w:firstLineChars="0"/>
              <w:jc w:val="center"/>
              <w:rPr>
                <w:snapToGrid w:val="0"/>
                <w:kern w:val="21"/>
              </w:rPr>
            </w:pPr>
            <w:r>
              <w:rPr>
                <w:snapToGrid w:val="0"/>
                <w:kern w:val="21"/>
              </w:rPr>
              <w:t>/</w:t>
            </w:r>
          </w:p>
        </w:tc>
        <w:tc>
          <w:tcPr>
            <w:tcW w:w="1763" w:type="dxa"/>
            <w:vAlign w:val="center"/>
          </w:tcPr>
          <w:p w14:paraId="137BA607">
            <w:pPr>
              <w:adjustRightInd w:val="0"/>
              <w:snapToGrid w:val="0"/>
              <w:spacing w:line="240" w:lineRule="auto"/>
              <w:ind w:firstLine="0" w:firstLineChars="0"/>
              <w:jc w:val="center"/>
              <w:rPr>
                <w:snapToGrid w:val="0"/>
                <w:kern w:val="21"/>
              </w:rPr>
            </w:pPr>
            <w:r>
              <w:rPr>
                <w:rFonts w:hint="eastAsia"/>
                <w:snapToGrid w:val="0"/>
                <w:kern w:val="21"/>
                <w:lang w:val="en-US" w:eastAsia="zh-CN"/>
              </w:rPr>
              <w:t>28.445</w:t>
            </w:r>
            <w:r>
              <w:t>t/a</w:t>
            </w:r>
          </w:p>
        </w:tc>
        <w:tc>
          <w:tcPr>
            <w:tcW w:w="1753" w:type="dxa"/>
            <w:vAlign w:val="center"/>
          </w:tcPr>
          <w:p w14:paraId="2107021D">
            <w:pPr>
              <w:adjustRightInd w:val="0"/>
              <w:snapToGrid w:val="0"/>
              <w:spacing w:line="240" w:lineRule="auto"/>
              <w:ind w:firstLine="0" w:firstLineChars="0"/>
              <w:jc w:val="center"/>
              <w:rPr>
                <w:snapToGrid w:val="0"/>
                <w:kern w:val="21"/>
              </w:rPr>
            </w:pPr>
          </w:p>
        </w:tc>
        <w:tc>
          <w:tcPr>
            <w:tcW w:w="2095" w:type="dxa"/>
            <w:vAlign w:val="center"/>
          </w:tcPr>
          <w:p w14:paraId="489439F3">
            <w:pPr>
              <w:adjustRightInd w:val="0"/>
              <w:snapToGrid w:val="0"/>
              <w:spacing w:line="240" w:lineRule="auto"/>
              <w:ind w:firstLine="0" w:firstLineChars="0"/>
              <w:jc w:val="center"/>
              <w:rPr>
                <w:snapToGrid w:val="0"/>
                <w:kern w:val="21"/>
              </w:rPr>
            </w:pPr>
            <w:r>
              <w:rPr>
                <w:rFonts w:hint="eastAsia"/>
                <w:snapToGrid w:val="0"/>
                <w:kern w:val="21"/>
                <w:lang w:val="en-US" w:eastAsia="zh-CN"/>
              </w:rPr>
              <w:t>28.445</w:t>
            </w:r>
            <w:r>
              <w:t>t/a</w:t>
            </w:r>
          </w:p>
        </w:tc>
        <w:tc>
          <w:tcPr>
            <w:tcW w:w="1708" w:type="dxa"/>
            <w:vAlign w:val="center"/>
          </w:tcPr>
          <w:p w14:paraId="209C0B4A">
            <w:pPr>
              <w:adjustRightInd w:val="0"/>
              <w:snapToGrid w:val="0"/>
              <w:spacing w:line="240" w:lineRule="auto"/>
              <w:ind w:firstLine="0" w:firstLineChars="0"/>
              <w:jc w:val="center"/>
              <w:rPr>
                <w:snapToGrid w:val="0"/>
                <w:kern w:val="21"/>
              </w:rPr>
            </w:pPr>
            <w:r>
              <w:rPr>
                <w:rFonts w:hint="eastAsia"/>
                <w:snapToGrid w:val="0"/>
                <w:kern w:val="21"/>
                <w:lang w:val="en-US" w:eastAsia="zh-CN"/>
              </w:rPr>
              <w:t>28.445</w:t>
            </w:r>
            <w:r>
              <w:t>t/a</w:t>
            </w:r>
          </w:p>
        </w:tc>
      </w:tr>
    </w:tbl>
    <w:p w14:paraId="6D4DBA4B">
      <w:pPr>
        <w:pStyle w:val="59"/>
        <w:spacing w:before="260" w:beforeLines="80" w:after="32"/>
        <w:ind w:firstLine="420"/>
        <w:jc w:val="left"/>
        <w:rPr>
          <w:rFonts w:hint="default" w:ascii="Times New Roman"/>
          <w:lang w:val="en-US" w:eastAsia="zh-CN"/>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p>
    <w:sectPr>
      <w:footerReference r:id="rId13" w:type="default"/>
      <w:pgSz w:w="16838" w:h="11906" w:orient="landscape"/>
      <w:pgMar w:top="720" w:right="720" w:bottom="720" w:left="720" w:header="567" w:footer="567"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D103AB-D7B3-4869-9BBA-34E16A0E6714}"/>
  </w:font>
  <w:font w:name="黑体">
    <w:panose1 w:val="02010609060101010101"/>
    <w:charset w:val="86"/>
    <w:family w:val="auto"/>
    <w:pitch w:val="default"/>
    <w:sig w:usb0="800002BF" w:usb1="38CF7CFA" w:usb2="00000016" w:usb3="00000000" w:csb0="00040001" w:csb1="00000000"/>
    <w:embedRegular r:id="rId2" w:fontKey="{88C6660E-C850-4246-A9F8-7AC21E8566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l">
    <w:altName w:val="宋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3" w:fontKey="{51A2BFC6-FBA8-4DE4-B98E-8A186E8A6B97}"/>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4" w:fontKey="{40ECB5F4-B3D7-44C9-88E0-0E1DEA9A8BE9}"/>
  </w:font>
  <w:font w:name="方正小标宋_GBK">
    <w:panose1 w:val="03000509000000000000"/>
    <w:charset w:val="86"/>
    <w:family w:val="script"/>
    <w:pitch w:val="default"/>
    <w:sig w:usb0="00000001" w:usb1="080E0000" w:usb2="00000000" w:usb3="00000000" w:csb0="00040000" w:csb1="00000000"/>
    <w:embedRegular r:id="rId5" w:fontKey="{A4846711-79BA-40DB-951F-9F7CD190CEB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F3E6">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4E7A">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2831">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D1D2A">
    <w:pPr>
      <w:pStyle w:val="2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9100" cy="196850"/>
              <wp:effectExtent l="0" t="0" r="0" b="0"/>
              <wp:wrapNone/>
              <wp:docPr id="46" name="文本框 2"/>
              <wp:cNvGraphicFramePr/>
              <a:graphic xmlns:a="http://schemas.openxmlformats.org/drawingml/2006/main">
                <a:graphicData uri="http://schemas.microsoft.com/office/word/2010/wordprocessingShape">
                  <wps:wsp>
                    <wps:cNvSpPr txBox="1"/>
                    <wps:spPr>
                      <a:xfrm>
                        <a:off x="0" y="0"/>
                        <a:ext cx="419100" cy="196850"/>
                      </a:xfrm>
                      <a:prstGeom prst="rect">
                        <a:avLst/>
                      </a:prstGeom>
                      <a:noFill/>
                      <a:ln>
                        <a:noFill/>
                      </a:ln>
                    </wps:spPr>
                    <wps:txbx>
                      <w:txbxContent>
                        <w:p w14:paraId="5B3F5E40">
                          <w:pPr>
                            <w:pStyle w:val="20"/>
                            <w:ind w:firstLine="360"/>
                          </w:pPr>
                          <w:r>
                            <w:fldChar w:fldCharType="begin"/>
                          </w:r>
                          <w:r>
                            <w:instrText xml:space="preserve"> PAGE  \* MERGEFORMAT </w:instrText>
                          </w:r>
                          <w:r>
                            <w:fldChar w:fldCharType="separate"/>
                          </w:r>
                          <w:r>
                            <w:t>- 11 -</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5.5pt;width:33pt;mso-position-horizontal:center;mso-position-horizontal-relative:margin;mso-wrap-style:none;z-index:251659264;mso-width-relative:page;mso-height-relative:page;" filled="f" stroked="f" coordsize="21600,21600" o:gfxdata="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iIEbc8AAAADAQAADwAAAAAAAAABACAAAAAiAAAAZHJzL2Rvd25yZXYueG1s&#10;UEsBAhQAFAAAAAgAh07iQMYdEbfIAQAAjAMAAA4AAAAAAAAAAQAgAAAAHgEAAGRycy9lMm9Eb2Mu&#10;eG1sUEsFBgAAAAAGAAYAWQEAAFgFAAAAAA==&#10;">
              <v:fill on="f" focussize="0,0"/>
              <v:stroke on="f"/>
              <v:imagedata o:title=""/>
              <o:lock v:ext="edit" aspectratio="f"/>
              <v:textbox inset="0mm,0mm,0mm,0mm" style="mso-fit-shape-to-text:t;">
                <w:txbxContent>
                  <w:p w14:paraId="5B3F5E40">
                    <w:pPr>
                      <w:pStyle w:val="20"/>
                      <w:ind w:firstLine="360"/>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EE2F0">
    <w:pPr>
      <w:pStyle w:val="2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9100" cy="196850"/>
              <wp:effectExtent l="0" t="0" r="0" b="0"/>
              <wp:wrapNone/>
              <wp:docPr id="47" name="文本框 3"/>
              <wp:cNvGraphicFramePr/>
              <a:graphic xmlns:a="http://schemas.openxmlformats.org/drawingml/2006/main">
                <a:graphicData uri="http://schemas.microsoft.com/office/word/2010/wordprocessingShape">
                  <wps:wsp>
                    <wps:cNvSpPr txBox="1"/>
                    <wps:spPr>
                      <a:xfrm>
                        <a:off x="0" y="0"/>
                        <a:ext cx="419100" cy="196850"/>
                      </a:xfrm>
                      <a:prstGeom prst="rect">
                        <a:avLst/>
                      </a:prstGeom>
                      <a:noFill/>
                      <a:ln>
                        <a:noFill/>
                      </a:ln>
                    </wps:spPr>
                    <wps:txbx>
                      <w:txbxContent>
                        <w:p w14:paraId="5BBA9365">
                          <w:pPr>
                            <w:pStyle w:val="20"/>
                            <w:ind w:firstLine="360"/>
                          </w:pPr>
                          <w:r>
                            <w:fldChar w:fldCharType="begin"/>
                          </w:r>
                          <w:r>
                            <w:instrText xml:space="preserve"> PAGE  \* MERGEFORMAT </w:instrText>
                          </w:r>
                          <w:r>
                            <w:fldChar w:fldCharType="separate"/>
                          </w:r>
                          <w:r>
                            <w:t>- 20 -</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5.5pt;width:33pt;mso-position-horizontal:center;mso-position-horizontal-relative:margin;mso-wrap-style:none;z-index:251660288;mso-width-relative:page;mso-height-relative:page;" filled="f" stroked="f" coordsize="21600,21600" o:gfxdata="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iBG3PAAAAAwEAAA8AAAAAAAAAAQAgAAAAIgAAAGRycy9kb3ducmV2Lnht&#10;bFBLAQIUABQAAAAIAIdO4kCymt9AyQEAAIwDAAAOAAAAAAAAAAEAIAAAAB4BAABkcnMvZTJvRG9j&#10;LnhtbFBLBQYAAAAABgAGAFkBAABZBQAAAAA=&#10;">
              <v:fill on="f" focussize="0,0"/>
              <v:stroke on="f"/>
              <v:imagedata o:title=""/>
              <o:lock v:ext="edit" aspectratio="f"/>
              <v:textbox inset="0mm,0mm,0mm,0mm" style="mso-fit-shape-to-text:t;">
                <w:txbxContent>
                  <w:p w14:paraId="5BBA9365">
                    <w:pPr>
                      <w:pStyle w:val="20"/>
                      <w:ind w:firstLine="360"/>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F2F8">
    <w:pPr>
      <w:pStyle w:val="20"/>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76250" cy="196850"/>
              <wp:effectExtent l="0" t="0" r="0" b="0"/>
              <wp:wrapNone/>
              <wp:docPr id="48" name="文本框 4"/>
              <wp:cNvGraphicFramePr/>
              <a:graphic xmlns:a="http://schemas.openxmlformats.org/drawingml/2006/main">
                <a:graphicData uri="http://schemas.microsoft.com/office/word/2010/wordprocessingShape">
                  <wps:wsp>
                    <wps:cNvSpPr txBox="1"/>
                    <wps:spPr>
                      <a:xfrm>
                        <a:off x="0" y="0"/>
                        <a:ext cx="476250" cy="196850"/>
                      </a:xfrm>
                      <a:prstGeom prst="rect">
                        <a:avLst/>
                      </a:prstGeom>
                      <a:noFill/>
                      <a:ln>
                        <a:noFill/>
                      </a:ln>
                    </wps:spPr>
                    <wps:txbx>
                      <w:txbxContent>
                        <w:p w14:paraId="6CDEC801">
                          <w:pPr>
                            <w:pStyle w:val="20"/>
                            <w:ind w:firstLine="360"/>
                          </w:pPr>
                          <w:r>
                            <w:fldChar w:fldCharType="begin"/>
                          </w:r>
                          <w:r>
                            <w:instrText xml:space="preserve"> PAGE  \* MERGEFORMAT </w:instrText>
                          </w:r>
                          <w:r>
                            <w:fldChar w:fldCharType="separate"/>
                          </w:r>
                          <w:r>
                            <w:t>- 56 -</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5.5pt;width:37.5pt;mso-position-horizontal:center;mso-position-horizontal-relative:margin;mso-wrap-style:none;z-index:251661312;mso-width-relative:page;mso-height-relative:page;" filled="f" stroked="f" coordsize="21600,21600" o:gfxdata="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N0M0AAAAAMBAAAPAAAAAAAAAAEAIAAAACIAAABkcnMvZG93bnJldi54bWxQ&#10;SwECFAAUAAAACACHTuJADr2xqMYBAACMAwAADgAAAAAAAAABACAAAAAfAQAAZHJzL2Uyb0RvYy54&#10;bWxQSwUGAAAAAAYABgBZAQAAVwUAAAAA&#10;">
              <v:fill on="f" focussize="0,0"/>
              <v:stroke on="f"/>
              <v:imagedata o:title=""/>
              <o:lock v:ext="edit" aspectratio="f"/>
              <v:textbox inset="0mm,0mm,0mm,0mm" style="mso-fit-shape-to-text:t;">
                <w:txbxContent>
                  <w:p w14:paraId="6CDEC801">
                    <w:pPr>
                      <w:pStyle w:val="20"/>
                      <w:ind w:firstLine="360"/>
                    </w:pPr>
                    <w:r>
                      <w:fldChar w:fldCharType="begin"/>
                    </w:r>
                    <w:r>
                      <w:instrText xml:space="preserve"> PAGE  \* MERGEFORMAT </w:instrText>
                    </w:r>
                    <w:r>
                      <w:fldChar w:fldCharType="separate"/>
                    </w:r>
                    <w:r>
                      <w:t>- 56 -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11EA8">
    <w:pPr>
      <w:pStyle w:val="21"/>
      <w:pBdr>
        <w:bottom w:val="none" w:color="auto" w:sz="0" w:space="1"/>
      </w:pBdr>
      <w:tabs>
        <w:tab w:val="left" w:pos="6435"/>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42E4">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9C4C">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D9C47"/>
    <w:multiLevelType w:val="singleLevel"/>
    <w:tmpl w:val="B56D9C47"/>
    <w:lvl w:ilvl="0" w:tentative="0">
      <w:start w:val="4"/>
      <w:numFmt w:val="decimal"/>
      <w:suff w:val="nothing"/>
      <w:lvlText w:val="（%1）"/>
      <w:lvlJc w:val="left"/>
    </w:lvl>
  </w:abstractNum>
  <w:abstractNum w:abstractNumId="1">
    <w:nsid w:val="F8E4463B"/>
    <w:multiLevelType w:val="singleLevel"/>
    <w:tmpl w:val="F8E4463B"/>
    <w:lvl w:ilvl="0" w:tentative="0">
      <w:start w:val="1"/>
      <w:numFmt w:val="decimal"/>
      <w:suff w:val="nothing"/>
      <w:lvlText w:val="（%1）"/>
      <w:lvlJc w:val="left"/>
      <w:pPr>
        <w:ind w:left="480" w:leftChars="0" w:firstLine="0" w:firstLineChars="0"/>
      </w:pPr>
    </w:lvl>
  </w:abstractNum>
  <w:abstractNum w:abstractNumId="2">
    <w:nsid w:val="24C4BA92"/>
    <w:multiLevelType w:val="singleLevel"/>
    <w:tmpl w:val="24C4BA92"/>
    <w:lvl w:ilvl="0" w:tentative="0">
      <w:start w:val="4"/>
      <w:numFmt w:val="chineseCounting"/>
      <w:suff w:val="nothing"/>
      <w:lvlText w:val="%1、"/>
      <w:lvlJc w:val="left"/>
      <w:rPr>
        <w:rFonts w:hint="eastAsia"/>
      </w:rPr>
    </w:lvl>
  </w:abstractNum>
  <w:abstractNum w:abstractNumId="3">
    <w:nsid w:val="3EC2A70E"/>
    <w:multiLevelType w:val="multilevel"/>
    <w:tmpl w:val="3EC2A70E"/>
    <w:lvl w:ilvl="0" w:tentative="0">
      <w:start w:val="1"/>
      <w:numFmt w:val="decimal"/>
      <w:pStyle w:val="10"/>
      <w:lvlText w:val="%1."/>
      <w:legacy w:legacy="1" w:legacySpace="0" w:legacyIndent="425"/>
      <w:lvlJc w:val="left"/>
      <w:pPr>
        <w:ind w:left="425" w:hanging="425"/>
      </w:pPr>
    </w:lvl>
    <w:lvl w:ilvl="1" w:tentative="0">
      <w:start w:val="1"/>
      <w:numFmt w:val="decimal"/>
      <w:pStyle w:val="3"/>
      <w:lvlText w:val="%1.%2."/>
      <w:legacy w:legacy="1" w:legacySpace="0" w:legacyIndent="425"/>
      <w:lvlJc w:val="left"/>
      <w:pPr>
        <w:ind w:left="1984" w:hanging="425"/>
      </w:pPr>
    </w:lvl>
    <w:lvl w:ilvl="2" w:tentative="0">
      <w:start w:val="1"/>
      <w:numFmt w:val="decimal"/>
      <w:lvlText w:val="%1.%2.%3."/>
      <w:legacy w:legacy="1" w:legacySpace="0" w:legacyIndent="425"/>
      <w:lvlJc w:val="left"/>
      <w:pPr>
        <w:ind w:left="1275" w:hanging="425"/>
      </w:pPr>
    </w:lvl>
    <w:lvl w:ilvl="3" w:tentative="0">
      <w:start w:val="1"/>
      <w:numFmt w:val="decimal"/>
      <w:lvlText w:val="%1.%2.%3.%4."/>
      <w:legacy w:legacy="1" w:legacySpace="0" w:legacyIndent="425"/>
      <w:lvlJc w:val="left"/>
      <w:pPr>
        <w:ind w:left="1700" w:hanging="425"/>
      </w:pPr>
    </w:lvl>
    <w:lvl w:ilvl="4" w:tentative="0">
      <w:start w:val="1"/>
      <w:numFmt w:val="decimal"/>
      <w:lvlText w:val="%1.%2.%3.%4.%5."/>
      <w:legacy w:legacy="1" w:legacySpace="0" w:legacyIndent="425"/>
      <w:lvlJc w:val="left"/>
      <w:pPr>
        <w:ind w:left="2125" w:hanging="425"/>
      </w:pPr>
    </w:lvl>
    <w:lvl w:ilvl="5" w:tentative="0">
      <w:start w:val="1"/>
      <w:numFmt w:val="decimal"/>
      <w:lvlText w:val="%1.%2.%3.%4.%5.%6."/>
      <w:legacy w:legacy="1" w:legacySpace="0" w:legacyIndent="425"/>
      <w:lvlJc w:val="left"/>
      <w:pPr>
        <w:ind w:left="2550" w:hanging="425"/>
      </w:pPr>
    </w:lvl>
    <w:lvl w:ilvl="6" w:tentative="0">
      <w:start w:val="1"/>
      <w:numFmt w:val="decimal"/>
      <w:lvlText w:val="%1.%2.%3.%4.%5.%6.%7."/>
      <w:legacy w:legacy="1" w:legacySpace="0" w:legacyIndent="425"/>
      <w:lvlJc w:val="left"/>
      <w:pPr>
        <w:ind w:left="2975" w:hanging="425"/>
      </w:pPr>
    </w:lvl>
    <w:lvl w:ilvl="7" w:tentative="0">
      <w:start w:val="1"/>
      <w:numFmt w:val="decimal"/>
      <w:lvlText w:val="%1.%2.%3.%4.%5.%6.%7.%8."/>
      <w:legacy w:legacy="1" w:legacySpace="0" w:legacyIndent="425"/>
      <w:lvlJc w:val="left"/>
      <w:pPr>
        <w:ind w:left="3400" w:hanging="425"/>
      </w:pPr>
    </w:lvl>
    <w:lvl w:ilvl="8" w:tentative="0">
      <w:start w:val="1"/>
      <w:numFmt w:val="decimal"/>
      <w:lvlText w:val="%1.%2.%3.%4.%5.%6.%7.%8.%9."/>
      <w:legacy w:legacy="1" w:legacySpace="0" w:legacyIndent="425"/>
      <w:lvlJc w:val="left"/>
      <w:pPr>
        <w:ind w:left="3825" w:hanging="425"/>
      </w:pPr>
    </w:lvl>
  </w:abstractNum>
  <w:abstractNum w:abstractNumId="4">
    <w:nsid w:val="5AE2704C"/>
    <w:multiLevelType w:val="multilevel"/>
    <w:tmpl w:val="5AE2704C"/>
    <w:lvl w:ilvl="0" w:tentative="0">
      <w:start w:val="1"/>
      <w:numFmt w:val="decimal"/>
      <w:suff w:val="space"/>
      <w:lvlText w:val="%1"/>
      <w:lvlJc w:val="left"/>
      <w:pPr>
        <w:tabs>
          <w:tab w:val="left" w:pos="420"/>
        </w:tabs>
        <w:ind w:left="0" w:firstLine="0"/>
      </w:pPr>
      <w:rPr>
        <w:rFonts w:hint="default" w:ascii="Times New Roman" w:hAnsi="Times New Roman" w:eastAsia="宋体" w:cs="Times New Roman"/>
      </w:rPr>
    </w:lvl>
    <w:lvl w:ilvl="1" w:tentative="0">
      <w:start w:val="1"/>
      <w:numFmt w:val="decimal"/>
      <w:suff w:val="space"/>
      <w:lvlText w:val="%1.%2"/>
      <w:lvlJc w:val="left"/>
      <w:pPr>
        <w:tabs>
          <w:tab w:val="left" w:pos="426"/>
        </w:tabs>
        <w:ind w:left="426" w:firstLine="0"/>
      </w:pPr>
      <w:rPr>
        <w:rFonts w:hint="default" w:ascii="Times New Roman" w:hAnsi="Times New Roman" w:eastAsia="宋体" w:cs="Times New Roman"/>
        <w:sz w:val="30"/>
        <w:szCs w:val="30"/>
      </w:rPr>
    </w:lvl>
    <w:lvl w:ilvl="2" w:tentative="0">
      <w:start w:val="1"/>
      <w:numFmt w:val="decimal"/>
      <w:suff w:val="space"/>
      <w:lvlText w:val="%1.%2.%3"/>
      <w:lvlJc w:val="left"/>
      <w:pPr>
        <w:tabs>
          <w:tab w:val="left" w:pos="426"/>
        </w:tabs>
        <w:ind w:left="426" w:firstLine="0"/>
      </w:pPr>
      <w:rPr>
        <w:rFonts w:hint="default" w:ascii="Times New Roman" w:hAnsi="Times New Roman" w:eastAsia="宋体" w:cs="Times New Roman"/>
        <w:sz w:val="28"/>
        <w:szCs w:val="28"/>
      </w:rPr>
    </w:lvl>
    <w:lvl w:ilvl="3" w:tentative="0">
      <w:start w:val="1"/>
      <w:numFmt w:val="decimal"/>
      <w:suff w:val="space"/>
      <w:lvlText w:val="%1.%2.%3.%4"/>
      <w:lvlJc w:val="left"/>
      <w:pPr>
        <w:tabs>
          <w:tab w:val="left" w:pos="1857"/>
        </w:tabs>
        <w:ind w:left="993" w:firstLine="0"/>
      </w:pPr>
      <w:rPr>
        <w:rFonts w:hint="default" w:ascii="Times New Roman" w:hAnsi="Times New Roman" w:eastAsia="宋体" w:cs="Times New Roman"/>
        <w:sz w:val="24"/>
        <w:szCs w:val="24"/>
      </w:rPr>
    </w:lvl>
    <w:lvl w:ilvl="4" w:tentative="0">
      <w:start w:val="1"/>
      <w:numFmt w:val="decimal"/>
      <w:lvlRestart w:val="2"/>
      <w:pStyle w:val="8"/>
      <w:suff w:val="space"/>
      <w:lvlText w:val="表%1.%2-%5 "/>
      <w:lvlJc w:val="left"/>
      <w:pPr>
        <w:tabs>
          <w:tab w:val="left" w:pos="2410"/>
        </w:tabs>
        <w:ind w:left="2410" w:firstLine="0"/>
      </w:pPr>
      <w:rPr>
        <w:b/>
      </w:rPr>
    </w:lvl>
    <w:lvl w:ilvl="5" w:tentative="0">
      <w:start w:val="1"/>
      <w:numFmt w:val="decimal"/>
      <w:lvlRestart w:val="2"/>
      <w:suff w:val="space"/>
      <w:lvlText w:val="图%1.%2-%6 "/>
      <w:lvlJc w:val="left"/>
      <w:pPr>
        <w:tabs>
          <w:tab w:val="left" w:pos="0"/>
        </w:tabs>
        <w:ind w:left="0" w:firstLine="0"/>
      </w:pPr>
      <w:rPr>
        <w:rFonts w:hint="default" w:ascii="Times New Roman" w:hAnsi="Times New Roman" w:eastAsia="宋体" w:cs="宋体"/>
      </w:rPr>
    </w:lvl>
    <w:lvl w:ilvl="6" w:tentative="0">
      <w:start w:val="1"/>
      <w:numFmt w:val="none"/>
      <w:lvlRestart w:val="0"/>
      <w:suff w:val="nothing"/>
      <w:lvlText w:val=""/>
      <w:lvlJc w:val="left"/>
      <w:pPr>
        <w:tabs>
          <w:tab w:val="left" w:pos="0"/>
        </w:tabs>
        <w:ind w:left="0" w:firstLine="0"/>
      </w:pPr>
      <w:rPr>
        <w:rFonts w:hint="default" w:ascii="宋体" w:hAnsi="宋体" w:eastAsia="宋体" w:cs="宋体"/>
      </w:r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67A9198F"/>
    <w:multiLevelType w:val="multilevel"/>
    <w:tmpl w:val="67A9198F"/>
    <w:lvl w:ilvl="0" w:tentative="0">
      <w:start w:val="1"/>
      <w:numFmt w:val="lowerLetter"/>
      <w:pStyle w:val="73"/>
      <w:lvlText w:val="%1）"/>
      <w:lvlJc w:val="left"/>
      <w:pPr>
        <w:ind w:left="620" w:hanging="4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20"/>
  <w:drawingGridVerticalSpacing w:val="163"/>
  <w:displayHorizontalDrawingGridEvery w:val="1"/>
  <w:displayVerticalDrawingGridEvery w:val="1"/>
  <w:noPunctuationKerning w:val="1"/>
  <w:characterSpacingControl w:val="doNotCompress"/>
  <w:noLineBreaksAfter w:lang="zh-CN" w:val="([{·‘“〈《「『【〔〖（．［｛￡￥"/>
  <w:noLineBreaksBefore w:lang="zh-CN" w:val="!),.:;?]}¨·ˇˉ―‖’”…∶、。〃々〉》」』】〕〗！＂＇），．：；？］｀｜｝～￠"/>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2JjMGViODRhMGQ0M2QzM2U4YTUwNTU1NGU2NjcifQ=="/>
  </w:docVars>
  <w:rsids>
    <w:rsidRoot w:val="00172A27"/>
    <w:rsid w:val="00000603"/>
    <w:rsid w:val="00001F4F"/>
    <w:rsid w:val="00002FEB"/>
    <w:rsid w:val="000034CF"/>
    <w:rsid w:val="00003D0C"/>
    <w:rsid w:val="00004463"/>
    <w:rsid w:val="000060B3"/>
    <w:rsid w:val="00006B75"/>
    <w:rsid w:val="00006CF6"/>
    <w:rsid w:val="00011D9E"/>
    <w:rsid w:val="00015EE8"/>
    <w:rsid w:val="000219D3"/>
    <w:rsid w:val="00021E8B"/>
    <w:rsid w:val="00022AA3"/>
    <w:rsid w:val="0002370D"/>
    <w:rsid w:val="00025A4A"/>
    <w:rsid w:val="000261FA"/>
    <w:rsid w:val="00032A61"/>
    <w:rsid w:val="00040748"/>
    <w:rsid w:val="00040A7A"/>
    <w:rsid w:val="000419B5"/>
    <w:rsid w:val="00041B48"/>
    <w:rsid w:val="0004364B"/>
    <w:rsid w:val="00045596"/>
    <w:rsid w:val="00045F10"/>
    <w:rsid w:val="00046389"/>
    <w:rsid w:val="00046CFE"/>
    <w:rsid w:val="000505F2"/>
    <w:rsid w:val="000512B2"/>
    <w:rsid w:val="00054B3C"/>
    <w:rsid w:val="00055788"/>
    <w:rsid w:val="00060053"/>
    <w:rsid w:val="0006029B"/>
    <w:rsid w:val="00060BF2"/>
    <w:rsid w:val="00061B1F"/>
    <w:rsid w:val="00061E30"/>
    <w:rsid w:val="00062A3A"/>
    <w:rsid w:val="000639F8"/>
    <w:rsid w:val="00067034"/>
    <w:rsid w:val="000733C4"/>
    <w:rsid w:val="0007465D"/>
    <w:rsid w:val="00074783"/>
    <w:rsid w:val="00076B12"/>
    <w:rsid w:val="00077804"/>
    <w:rsid w:val="0008070B"/>
    <w:rsid w:val="000810AC"/>
    <w:rsid w:val="00081507"/>
    <w:rsid w:val="00081A02"/>
    <w:rsid w:val="00082051"/>
    <w:rsid w:val="00082231"/>
    <w:rsid w:val="00083DE5"/>
    <w:rsid w:val="00086A49"/>
    <w:rsid w:val="00092C6E"/>
    <w:rsid w:val="00092D38"/>
    <w:rsid w:val="000933B3"/>
    <w:rsid w:val="0009377B"/>
    <w:rsid w:val="000961A4"/>
    <w:rsid w:val="0009620E"/>
    <w:rsid w:val="0009716C"/>
    <w:rsid w:val="000A0936"/>
    <w:rsid w:val="000A1405"/>
    <w:rsid w:val="000A20C9"/>
    <w:rsid w:val="000A4075"/>
    <w:rsid w:val="000A7F3F"/>
    <w:rsid w:val="000B00AD"/>
    <w:rsid w:val="000B058F"/>
    <w:rsid w:val="000B2EB0"/>
    <w:rsid w:val="000B4467"/>
    <w:rsid w:val="000B4CB7"/>
    <w:rsid w:val="000B4DB9"/>
    <w:rsid w:val="000B540F"/>
    <w:rsid w:val="000B582C"/>
    <w:rsid w:val="000B61E4"/>
    <w:rsid w:val="000C04AD"/>
    <w:rsid w:val="000C09AC"/>
    <w:rsid w:val="000C1C56"/>
    <w:rsid w:val="000C4BE8"/>
    <w:rsid w:val="000C53C0"/>
    <w:rsid w:val="000C767F"/>
    <w:rsid w:val="000C77E1"/>
    <w:rsid w:val="000C7EFD"/>
    <w:rsid w:val="000D34EC"/>
    <w:rsid w:val="000D5486"/>
    <w:rsid w:val="000D5930"/>
    <w:rsid w:val="000D5A44"/>
    <w:rsid w:val="000E3ED2"/>
    <w:rsid w:val="000E467E"/>
    <w:rsid w:val="000E6043"/>
    <w:rsid w:val="000F0243"/>
    <w:rsid w:val="000F144B"/>
    <w:rsid w:val="000F161A"/>
    <w:rsid w:val="000F2C61"/>
    <w:rsid w:val="000F6BC0"/>
    <w:rsid w:val="00102523"/>
    <w:rsid w:val="00102E12"/>
    <w:rsid w:val="00104E04"/>
    <w:rsid w:val="00106C6E"/>
    <w:rsid w:val="00107A0D"/>
    <w:rsid w:val="00107E57"/>
    <w:rsid w:val="00111CFD"/>
    <w:rsid w:val="00113615"/>
    <w:rsid w:val="00113F5C"/>
    <w:rsid w:val="001178CC"/>
    <w:rsid w:val="00120287"/>
    <w:rsid w:val="00120289"/>
    <w:rsid w:val="00120990"/>
    <w:rsid w:val="0012173D"/>
    <w:rsid w:val="00122E86"/>
    <w:rsid w:val="00123AD0"/>
    <w:rsid w:val="0012674A"/>
    <w:rsid w:val="00130140"/>
    <w:rsid w:val="00130D6D"/>
    <w:rsid w:val="00131F42"/>
    <w:rsid w:val="00134EBA"/>
    <w:rsid w:val="001357F1"/>
    <w:rsid w:val="001365E3"/>
    <w:rsid w:val="00140FA8"/>
    <w:rsid w:val="00142FEB"/>
    <w:rsid w:val="00143A2D"/>
    <w:rsid w:val="00143BF6"/>
    <w:rsid w:val="00145A41"/>
    <w:rsid w:val="00147550"/>
    <w:rsid w:val="001475F9"/>
    <w:rsid w:val="00147A8F"/>
    <w:rsid w:val="00151675"/>
    <w:rsid w:val="0015314E"/>
    <w:rsid w:val="00154CCD"/>
    <w:rsid w:val="00157435"/>
    <w:rsid w:val="001575F3"/>
    <w:rsid w:val="00157B56"/>
    <w:rsid w:val="001602FF"/>
    <w:rsid w:val="001623EC"/>
    <w:rsid w:val="0017113D"/>
    <w:rsid w:val="001726A9"/>
    <w:rsid w:val="00172A27"/>
    <w:rsid w:val="0017355F"/>
    <w:rsid w:val="0017504D"/>
    <w:rsid w:val="0017671A"/>
    <w:rsid w:val="00176F7F"/>
    <w:rsid w:val="00177422"/>
    <w:rsid w:val="001826EA"/>
    <w:rsid w:val="00182EEB"/>
    <w:rsid w:val="001840FA"/>
    <w:rsid w:val="00184590"/>
    <w:rsid w:val="00185225"/>
    <w:rsid w:val="0018547C"/>
    <w:rsid w:val="001870D1"/>
    <w:rsid w:val="0018781E"/>
    <w:rsid w:val="00191ECC"/>
    <w:rsid w:val="001922DF"/>
    <w:rsid w:val="0019262D"/>
    <w:rsid w:val="001926FE"/>
    <w:rsid w:val="0019491F"/>
    <w:rsid w:val="00196FF3"/>
    <w:rsid w:val="001A1B35"/>
    <w:rsid w:val="001A37A4"/>
    <w:rsid w:val="001A41EE"/>
    <w:rsid w:val="001A4352"/>
    <w:rsid w:val="001A475E"/>
    <w:rsid w:val="001A48A2"/>
    <w:rsid w:val="001A48F2"/>
    <w:rsid w:val="001A4E4A"/>
    <w:rsid w:val="001A5328"/>
    <w:rsid w:val="001A6F61"/>
    <w:rsid w:val="001B17AB"/>
    <w:rsid w:val="001B1A2B"/>
    <w:rsid w:val="001B55BE"/>
    <w:rsid w:val="001B5C82"/>
    <w:rsid w:val="001B6181"/>
    <w:rsid w:val="001B72B8"/>
    <w:rsid w:val="001B7ED1"/>
    <w:rsid w:val="001C278B"/>
    <w:rsid w:val="001C5911"/>
    <w:rsid w:val="001C69B3"/>
    <w:rsid w:val="001C7345"/>
    <w:rsid w:val="001D5595"/>
    <w:rsid w:val="001D7874"/>
    <w:rsid w:val="001D78F8"/>
    <w:rsid w:val="001D7F22"/>
    <w:rsid w:val="001E2223"/>
    <w:rsid w:val="001E2C24"/>
    <w:rsid w:val="001E3632"/>
    <w:rsid w:val="001E5DB0"/>
    <w:rsid w:val="001E6780"/>
    <w:rsid w:val="001E6A9F"/>
    <w:rsid w:val="001F0F17"/>
    <w:rsid w:val="001F3347"/>
    <w:rsid w:val="001F552C"/>
    <w:rsid w:val="001F69E4"/>
    <w:rsid w:val="00200FE0"/>
    <w:rsid w:val="00201743"/>
    <w:rsid w:val="002072E3"/>
    <w:rsid w:val="002125B4"/>
    <w:rsid w:val="00213596"/>
    <w:rsid w:val="002155B8"/>
    <w:rsid w:val="00215B9F"/>
    <w:rsid w:val="0022058D"/>
    <w:rsid w:val="00220E4C"/>
    <w:rsid w:val="00220FD6"/>
    <w:rsid w:val="00222795"/>
    <w:rsid w:val="0022324A"/>
    <w:rsid w:val="00224839"/>
    <w:rsid w:val="00224901"/>
    <w:rsid w:val="002249B2"/>
    <w:rsid w:val="00224B0E"/>
    <w:rsid w:val="00226574"/>
    <w:rsid w:val="002278EC"/>
    <w:rsid w:val="00230056"/>
    <w:rsid w:val="002302D2"/>
    <w:rsid w:val="0023280E"/>
    <w:rsid w:val="002338A7"/>
    <w:rsid w:val="002339EA"/>
    <w:rsid w:val="00233DDE"/>
    <w:rsid w:val="002343CD"/>
    <w:rsid w:val="002370BD"/>
    <w:rsid w:val="002377D1"/>
    <w:rsid w:val="0024061E"/>
    <w:rsid w:val="002430F4"/>
    <w:rsid w:val="0024380B"/>
    <w:rsid w:val="00243B2B"/>
    <w:rsid w:val="00244B2D"/>
    <w:rsid w:val="002506BC"/>
    <w:rsid w:val="0025305B"/>
    <w:rsid w:val="00253A22"/>
    <w:rsid w:val="00254345"/>
    <w:rsid w:val="00257BAA"/>
    <w:rsid w:val="00260E14"/>
    <w:rsid w:val="00263AD5"/>
    <w:rsid w:val="00264557"/>
    <w:rsid w:val="002649B2"/>
    <w:rsid w:val="00267B96"/>
    <w:rsid w:val="002759FD"/>
    <w:rsid w:val="00276AB0"/>
    <w:rsid w:val="00276C6B"/>
    <w:rsid w:val="002805AB"/>
    <w:rsid w:val="00281457"/>
    <w:rsid w:val="002831B3"/>
    <w:rsid w:val="002837FB"/>
    <w:rsid w:val="00284204"/>
    <w:rsid w:val="002842E0"/>
    <w:rsid w:val="00285905"/>
    <w:rsid w:val="00286A3E"/>
    <w:rsid w:val="00287CFC"/>
    <w:rsid w:val="0029015A"/>
    <w:rsid w:val="00291773"/>
    <w:rsid w:val="00291BE7"/>
    <w:rsid w:val="00295F18"/>
    <w:rsid w:val="002A168C"/>
    <w:rsid w:val="002A1F58"/>
    <w:rsid w:val="002A240E"/>
    <w:rsid w:val="002A2D61"/>
    <w:rsid w:val="002A3B59"/>
    <w:rsid w:val="002A3DC7"/>
    <w:rsid w:val="002A3E06"/>
    <w:rsid w:val="002A4471"/>
    <w:rsid w:val="002A4835"/>
    <w:rsid w:val="002B4827"/>
    <w:rsid w:val="002B49E2"/>
    <w:rsid w:val="002B4CED"/>
    <w:rsid w:val="002B6FD8"/>
    <w:rsid w:val="002B7AA3"/>
    <w:rsid w:val="002B7B00"/>
    <w:rsid w:val="002B7C44"/>
    <w:rsid w:val="002C154D"/>
    <w:rsid w:val="002C2911"/>
    <w:rsid w:val="002C2B17"/>
    <w:rsid w:val="002C331B"/>
    <w:rsid w:val="002C4F51"/>
    <w:rsid w:val="002C52A7"/>
    <w:rsid w:val="002C5F15"/>
    <w:rsid w:val="002C67B8"/>
    <w:rsid w:val="002D035C"/>
    <w:rsid w:val="002D313C"/>
    <w:rsid w:val="002D3DD0"/>
    <w:rsid w:val="002D46B2"/>
    <w:rsid w:val="002D55A4"/>
    <w:rsid w:val="002D6ED0"/>
    <w:rsid w:val="002D7E1E"/>
    <w:rsid w:val="002E11DC"/>
    <w:rsid w:val="002E1F3A"/>
    <w:rsid w:val="002E279C"/>
    <w:rsid w:val="002E298A"/>
    <w:rsid w:val="002E29F7"/>
    <w:rsid w:val="002E3A40"/>
    <w:rsid w:val="002E3A49"/>
    <w:rsid w:val="002E41D7"/>
    <w:rsid w:val="002E6C98"/>
    <w:rsid w:val="002F0681"/>
    <w:rsid w:val="002F107C"/>
    <w:rsid w:val="002F6EDC"/>
    <w:rsid w:val="002F7FF6"/>
    <w:rsid w:val="00301978"/>
    <w:rsid w:val="0030332C"/>
    <w:rsid w:val="00303386"/>
    <w:rsid w:val="003051C2"/>
    <w:rsid w:val="00312296"/>
    <w:rsid w:val="00312C5E"/>
    <w:rsid w:val="00314F0E"/>
    <w:rsid w:val="00315326"/>
    <w:rsid w:val="0031656E"/>
    <w:rsid w:val="003179ED"/>
    <w:rsid w:val="00321D8E"/>
    <w:rsid w:val="00322190"/>
    <w:rsid w:val="003230BA"/>
    <w:rsid w:val="003236DE"/>
    <w:rsid w:val="00323A5B"/>
    <w:rsid w:val="00325928"/>
    <w:rsid w:val="0033150F"/>
    <w:rsid w:val="003326F1"/>
    <w:rsid w:val="00332863"/>
    <w:rsid w:val="003338C8"/>
    <w:rsid w:val="0033684D"/>
    <w:rsid w:val="00337B42"/>
    <w:rsid w:val="0034184B"/>
    <w:rsid w:val="00341B42"/>
    <w:rsid w:val="00341BD7"/>
    <w:rsid w:val="00342726"/>
    <w:rsid w:val="0034348F"/>
    <w:rsid w:val="00343C3B"/>
    <w:rsid w:val="00344E58"/>
    <w:rsid w:val="00346A57"/>
    <w:rsid w:val="003475D9"/>
    <w:rsid w:val="003518FC"/>
    <w:rsid w:val="0035491E"/>
    <w:rsid w:val="00354E11"/>
    <w:rsid w:val="00354FD6"/>
    <w:rsid w:val="00355056"/>
    <w:rsid w:val="003555ED"/>
    <w:rsid w:val="003559AC"/>
    <w:rsid w:val="00355E9F"/>
    <w:rsid w:val="00356653"/>
    <w:rsid w:val="0035743F"/>
    <w:rsid w:val="00357BE2"/>
    <w:rsid w:val="00360125"/>
    <w:rsid w:val="003604BE"/>
    <w:rsid w:val="00360B70"/>
    <w:rsid w:val="0036170C"/>
    <w:rsid w:val="00361CDE"/>
    <w:rsid w:val="0036258C"/>
    <w:rsid w:val="00362A0F"/>
    <w:rsid w:val="00362ECE"/>
    <w:rsid w:val="00364428"/>
    <w:rsid w:val="00365F22"/>
    <w:rsid w:val="00366E0F"/>
    <w:rsid w:val="0036786D"/>
    <w:rsid w:val="003678D8"/>
    <w:rsid w:val="003765CE"/>
    <w:rsid w:val="00377B6E"/>
    <w:rsid w:val="00377F98"/>
    <w:rsid w:val="00381A72"/>
    <w:rsid w:val="00381F24"/>
    <w:rsid w:val="00381FAC"/>
    <w:rsid w:val="003824EC"/>
    <w:rsid w:val="00384676"/>
    <w:rsid w:val="003864E0"/>
    <w:rsid w:val="00390857"/>
    <w:rsid w:val="00393016"/>
    <w:rsid w:val="00393495"/>
    <w:rsid w:val="00393D6E"/>
    <w:rsid w:val="00393FDA"/>
    <w:rsid w:val="00396DA1"/>
    <w:rsid w:val="003A0EA6"/>
    <w:rsid w:val="003A2692"/>
    <w:rsid w:val="003A38EE"/>
    <w:rsid w:val="003A4BF3"/>
    <w:rsid w:val="003A634F"/>
    <w:rsid w:val="003A6786"/>
    <w:rsid w:val="003B164A"/>
    <w:rsid w:val="003B212B"/>
    <w:rsid w:val="003B21CD"/>
    <w:rsid w:val="003B24F9"/>
    <w:rsid w:val="003B420D"/>
    <w:rsid w:val="003B4D7C"/>
    <w:rsid w:val="003C1AF0"/>
    <w:rsid w:val="003C4D75"/>
    <w:rsid w:val="003C4E07"/>
    <w:rsid w:val="003C6C16"/>
    <w:rsid w:val="003D0CB7"/>
    <w:rsid w:val="003D0FA0"/>
    <w:rsid w:val="003D14F2"/>
    <w:rsid w:val="003D1B12"/>
    <w:rsid w:val="003D2269"/>
    <w:rsid w:val="003D57B2"/>
    <w:rsid w:val="003D738F"/>
    <w:rsid w:val="003D794D"/>
    <w:rsid w:val="003E2CC5"/>
    <w:rsid w:val="003E3058"/>
    <w:rsid w:val="003E3CF0"/>
    <w:rsid w:val="003E4380"/>
    <w:rsid w:val="003E76A9"/>
    <w:rsid w:val="003E7984"/>
    <w:rsid w:val="003E7AA1"/>
    <w:rsid w:val="003F0809"/>
    <w:rsid w:val="003F43C9"/>
    <w:rsid w:val="003F6A8C"/>
    <w:rsid w:val="003F755C"/>
    <w:rsid w:val="0040003A"/>
    <w:rsid w:val="0040259B"/>
    <w:rsid w:val="004061D8"/>
    <w:rsid w:val="004067A1"/>
    <w:rsid w:val="00406F01"/>
    <w:rsid w:val="00410EA5"/>
    <w:rsid w:val="00413556"/>
    <w:rsid w:val="00413661"/>
    <w:rsid w:val="00413EFD"/>
    <w:rsid w:val="004140D0"/>
    <w:rsid w:val="004168B6"/>
    <w:rsid w:val="00416D50"/>
    <w:rsid w:val="00416FD5"/>
    <w:rsid w:val="00417772"/>
    <w:rsid w:val="004207FD"/>
    <w:rsid w:val="00420A98"/>
    <w:rsid w:val="00420E6A"/>
    <w:rsid w:val="00422669"/>
    <w:rsid w:val="00422741"/>
    <w:rsid w:val="0042471D"/>
    <w:rsid w:val="004254EF"/>
    <w:rsid w:val="00425A9E"/>
    <w:rsid w:val="00426A05"/>
    <w:rsid w:val="00426D6B"/>
    <w:rsid w:val="0043100A"/>
    <w:rsid w:val="00431E6C"/>
    <w:rsid w:val="004327E9"/>
    <w:rsid w:val="00433CE7"/>
    <w:rsid w:val="0043417A"/>
    <w:rsid w:val="00440979"/>
    <w:rsid w:val="00442581"/>
    <w:rsid w:val="0044300D"/>
    <w:rsid w:val="0044425F"/>
    <w:rsid w:val="0044647C"/>
    <w:rsid w:val="0044658F"/>
    <w:rsid w:val="00447329"/>
    <w:rsid w:val="00447906"/>
    <w:rsid w:val="0045163D"/>
    <w:rsid w:val="004525F4"/>
    <w:rsid w:val="00452738"/>
    <w:rsid w:val="00454610"/>
    <w:rsid w:val="00455BBC"/>
    <w:rsid w:val="00456091"/>
    <w:rsid w:val="004605B2"/>
    <w:rsid w:val="0046276D"/>
    <w:rsid w:val="0046486D"/>
    <w:rsid w:val="00465E4D"/>
    <w:rsid w:val="00466321"/>
    <w:rsid w:val="00467473"/>
    <w:rsid w:val="0047147A"/>
    <w:rsid w:val="00472208"/>
    <w:rsid w:val="00474B3F"/>
    <w:rsid w:val="00480FDF"/>
    <w:rsid w:val="00481E4B"/>
    <w:rsid w:val="00483120"/>
    <w:rsid w:val="00484B9B"/>
    <w:rsid w:val="004855F6"/>
    <w:rsid w:val="0048652F"/>
    <w:rsid w:val="0048661E"/>
    <w:rsid w:val="00486D98"/>
    <w:rsid w:val="00487CA9"/>
    <w:rsid w:val="00490A65"/>
    <w:rsid w:val="00491999"/>
    <w:rsid w:val="0049242C"/>
    <w:rsid w:val="00492BA8"/>
    <w:rsid w:val="00493041"/>
    <w:rsid w:val="004936F8"/>
    <w:rsid w:val="00494670"/>
    <w:rsid w:val="004A077E"/>
    <w:rsid w:val="004A0CEA"/>
    <w:rsid w:val="004A1E61"/>
    <w:rsid w:val="004A2C2C"/>
    <w:rsid w:val="004A3281"/>
    <w:rsid w:val="004A3823"/>
    <w:rsid w:val="004A644E"/>
    <w:rsid w:val="004B0957"/>
    <w:rsid w:val="004B18D5"/>
    <w:rsid w:val="004B20D1"/>
    <w:rsid w:val="004B4125"/>
    <w:rsid w:val="004B419C"/>
    <w:rsid w:val="004B4D6D"/>
    <w:rsid w:val="004B5560"/>
    <w:rsid w:val="004B574E"/>
    <w:rsid w:val="004B641F"/>
    <w:rsid w:val="004C0A98"/>
    <w:rsid w:val="004C56AB"/>
    <w:rsid w:val="004C5713"/>
    <w:rsid w:val="004C5B47"/>
    <w:rsid w:val="004C6DEF"/>
    <w:rsid w:val="004C7CA7"/>
    <w:rsid w:val="004D1855"/>
    <w:rsid w:val="004D2D38"/>
    <w:rsid w:val="004D3116"/>
    <w:rsid w:val="004D43BD"/>
    <w:rsid w:val="004D56EA"/>
    <w:rsid w:val="004D5750"/>
    <w:rsid w:val="004D766B"/>
    <w:rsid w:val="004D7889"/>
    <w:rsid w:val="004D7A28"/>
    <w:rsid w:val="004E06D4"/>
    <w:rsid w:val="004E127F"/>
    <w:rsid w:val="004E6946"/>
    <w:rsid w:val="004F0883"/>
    <w:rsid w:val="004F1AD8"/>
    <w:rsid w:val="004F28CC"/>
    <w:rsid w:val="004F3F46"/>
    <w:rsid w:val="004F7740"/>
    <w:rsid w:val="004F7E12"/>
    <w:rsid w:val="0050091D"/>
    <w:rsid w:val="005039CB"/>
    <w:rsid w:val="0050558F"/>
    <w:rsid w:val="00505A54"/>
    <w:rsid w:val="00505F58"/>
    <w:rsid w:val="00506286"/>
    <w:rsid w:val="005100FB"/>
    <w:rsid w:val="00510219"/>
    <w:rsid w:val="00510813"/>
    <w:rsid w:val="00511990"/>
    <w:rsid w:val="00511DE0"/>
    <w:rsid w:val="00513036"/>
    <w:rsid w:val="00514870"/>
    <w:rsid w:val="00514B9B"/>
    <w:rsid w:val="00515716"/>
    <w:rsid w:val="00516860"/>
    <w:rsid w:val="00516D74"/>
    <w:rsid w:val="00517F02"/>
    <w:rsid w:val="00522FCF"/>
    <w:rsid w:val="00523A20"/>
    <w:rsid w:val="00523C2F"/>
    <w:rsid w:val="00524303"/>
    <w:rsid w:val="005258A2"/>
    <w:rsid w:val="0052714C"/>
    <w:rsid w:val="0052766E"/>
    <w:rsid w:val="00530EC3"/>
    <w:rsid w:val="00533DE0"/>
    <w:rsid w:val="00534FCE"/>
    <w:rsid w:val="00536AE6"/>
    <w:rsid w:val="00537151"/>
    <w:rsid w:val="005401AE"/>
    <w:rsid w:val="00541EE7"/>
    <w:rsid w:val="00542E07"/>
    <w:rsid w:val="00545102"/>
    <w:rsid w:val="00545424"/>
    <w:rsid w:val="005455AF"/>
    <w:rsid w:val="005463E2"/>
    <w:rsid w:val="00546E41"/>
    <w:rsid w:val="0054711D"/>
    <w:rsid w:val="0054748C"/>
    <w:rsid w:val="005501C9"/>
    <w:rsid w:val="00551C13"/>
    <w:rsid w:val="005523A2"/>
    <w:rsid w:val="00554A7B"/>
    <w:rsid w:val="0055572C"/>
    <w:rsid w:val="005558CF"/>
    <w:rsid w:val="005572E9"/>
    <w:rsid w:val="0056106A"/>
    <w:rsid w:val="005622BB"/>
    <w:rsid w:val="00563895"/>
    <w:rsid w:val="005720AE"/>
    <w:rsid w:val="0057725D"/>
    <w:rsid w:val="00581B4F"/>
    <w:rsid w:val="00582C7D"/>
    <w:rsid w:val="0058488A"/>
    <w:rsid w:val="005857C3"/>
    <w:rsid w:val="005862EB"/>
    <w:rsid w:val="00587006"/>
    <w:rsid w:val="005903E3"/>
    <w:rsid w:val="0059071D"/>
    <w:rsid w:val="00593009"/>
    <w:rsid w:val="00594D77"/>
    <w:rsid w:val="00595CE8"/>
    <w:rsid w:val="005969E4"/>
    <w:rsid w:val="005A0437"/>
    <w:rsid w:val="005A06B7"/>
    <w:rsid w:val="005A1759"/>
    <w:rsid w:val="005A1DC8"/>
    <w:rsid w:val="005A2800"/>
    <w:rsid w:val="005A46A2"/>
    <w:rsid w:val="005A68A7"/>
    <w:rsid w:val="005A7875"/>
    <w:rsid w:val="005B163B"/>
    <w:rsid w:val="005B45EE"/>
    <w:rsid w:val="005B50FC"/>
    <w:rsid w:val="005C2A40"/>
    <w:rsid w:val="005C305E"/>
    <w:rsid w:val="005C3F7E"/>
    <w:rsid w:val="005D0E84"/>
    <w:rsid w:val="005D16FA"/>
    <w:rsid w:val="005D2EFD"/>
    <w:rsid w:val="005D36AB"/>
    <w:rsid w:val="005D4F1F"/>
    <w:rsid w:val="005D5C0F"/>
    <w:rsid w:val="005D5CC8"/>
    <w:rsid w:val="005E0C48"/>
    <w:rsid w:val="005E1966"/>
    <w:rsid w:val="005E2835"/>
    <w:rsid w:val="005E5AA4"/>
    <w:rsid w:val="005F06FA"/>
    <w:rsid w:val="005F1D4A"/>
    <w:rsid w:val="005F2766"/>
    <w:rsid w:val="005F400B"/>
    <w:rsid w:val="005F5C20"/>
    <w:rsid w:val="005F5CAE"/>
    <w:rsid w:val="005F6691"/>
    <w:rsid w:val="00601838"/>
    <w:rsid w:val="00603EAE"/>
    <w:rsid w:val="0060424C"/>
    <w:rsid w:val="006107D1"/>
    <w:rsid w:val="00612CF7"/>
    <w:rsid w:val="006134E0"/>
    <w:rsid w:val="006145DB"/>
    <w:rsid w:val="00615615"/>
    <w:rsid w:val="00617BD1"/>
    <w:rsid w:val="00617CC3"/>
    <w:rsid w:val="00621FDE"/>
    <w:rsid w:val="00622CEA"/>
    <w:rsid w:val="006246E6"/>
    <w:rsid w:val="00625EDC"/>
    <w:rsid w:val="0062661A"/>
    <w:rsid w:val="00630838"/>
    <w:rsid w:val="0063159E"/>
    <w:rsid w:val="00631AA7"/>
    <w:rsid w:val="00633D5D"/>
    <w:rsid w:val="00635597"/>
    <w:rsid w:val="00635A1F"/>
    <w:rsid w:val="00637374"/>
    <w:rsid w:val="006377A6"/>
    <w:rsid w:val="00637A3D"/>
    <w:rsid w:val="00641120"/>
    <w:rsid w:val="006411EF"/>
    <w:rsid w:val="006418BE"/>
    <w:rsid w:val="00642708"/>
    <w:rsid w:val="00650831"/>
    <w:rsid w:val="00650AA0"/>
    <w:rsid w:val="006512F1"/>
    <w:rsid w:val="00651433"/>
    <w:rsid w:val="006530B9"/>
    <w:rsid w:val="00654013"/>
    <w:rsid w:val="0065480D"/>
    <w:rsid w:val="006567DE"/>
    <w:rsid w:val="00656989"/>
    <w:rsid w:val="00656E5F"/>
    <w:rsid w:val="0065725E"/>
    <w:rsid w:val="006579DA"/>
    <w:rsid w:val="006606A6"/>
    <w:rsid w:val="00662628"/>
    <w:rsid w:val="00663466"/>
    <w:rsid w:val="00665BF0"/>
    <w:rsid w:val="00665C20"/>
    <w:rsid w:val="00667682"/>
    <w:rsid w:val="00667687"/>
    <w:rsid w:val="0067151F"/>
    <w:rsid w:val="006748B8"/>
    <w:rsid w:val="00676DCB"/>
    <w:rsid w:val="006772BF"/>
    <w:rsid w:val="006775C3"/>
    <w:rsid w:val="006777C7"/>
    <w:rsid w:val="00680F7A"/>
    <w:rsid w:val="00683AB3"/>
    <w:rsid w:val="00683D28"/>
    <w:rsid w:val="00686363"/>
    <w:rsid w:val="00691993"/>
    <w:rsid w:val="0069213F"/>
    <w:rsid w:val="0069290A"/>
    <w:rsid w:val="00694C71"/>
    <w:rsid w:val="0069539D"/>
    <w:rsid w:val="00695D43"/>
    <w:rsid w:val="0069772E"/>
    <w:rsid w:val="0069775A"/>
    <w:rsid w:val="00697813"/>
    <w:rsid w:val="006A2509"/>
    <w:rsid w:val="006A2706"/>
    <w:rsid w:val="006A2DDC"/>
    <w:rsid w:val="006A3AA6"/>
    <w:rsid w:val="006A3AFE"/>
    <w:rsid w:val="006A3EE8"/>
    <w:rsid w:val="006A5E7E"/>
    <w:rsid w:val="006A72BF"/>
    <w:rsid w:val="006B03F2"/>
    <w:rsid w:val="006B37DC"/>
    <w:rsid w:val="006B4162"/>
    <w:rsid w:val="006B4F68"/>
    <w:rsid w:val="006B612E"/>
    <w:rsid w:val="006B7526"/>
    <w:rsid w:val="006C0592"/>
    <w:rsid w:val="006C12F7"/>
    <w:rsid w:val="006C2111"/>
    <w:rsid w:val="006C272E"/>
    <w:rsid w:val="006C5479"/>
    <w:rsid w:val="006C5954"/>
    <w:rsid w:val="006C6F00"/>
    <w:rsid w:val="006C77F3"/>
    <w:rsid w:val="006D0536"/>
    <w:rsid w:val="006D13B5"/>
    <w:rsid w:val="006D36C3"/>
    <w:rsid w:val="006D7B79"/>
    <w:rsid w:val="006E12FF"/>
    <w:rsid w:val="006E35AC"/>
    <w:rsid w:val="006E5CE8"/>
    <w:rsid w:val="006E607E"/>
    <w:rsid w:val="006F0BB5"/>
    <w:rsid w:val="006F0F69"/>
    <w:rsid w:val="006F3627"/>
    <w:rsid w:val="006F3D14"/>
    <w:rsid w:val="006F3FBF"/>
    <w:rsid w:val="006F6A10"/>
    <w:rsid w:val="00701A85"/>
    <w:rsid w:val="0070371E"/>
    <w:rsid w:val="00704620"/>
    <w:rsid w:val="00705819"/>
    <w:rsid w:val="00706C5D"/>
    <w:rsid w:val="007070E4"/>
    <w:rsid w:val="00707B3D"/>
    <w:rsid w:val="007126A8"/>
    <w:rsid w:val="00712D43"/>
    <w:rsid w:val="00713459"/>
    <w:rsid w:val="0071373B"/>
    <w:rsid w:val="00713ECC"/>
    <w:rsid w:val="007145BD"/>
    <w:rsid w:val="00715490"/>
    <w:rsid w:val="00715685"/>
    <w:rsid w:val="00721FC7"/>
    <w:rsid w:val="00724192"/>
    <w:rsid w:val="00724648"/>
    <w:rsid w:val="00732922"/>
    <w:rsid w:val="00733415"/>
    <w:rsid w:val="0073482C"/>
    <w:rsid w:val="00736CC1"/>
    <w:rsid w:val="0073770B"/>
    <w:rsid w:val="00740FBD"/>
    <w:rsid w:val="0074191A"/>
    <w:rsid w:val="00743AA0"/>
    <w:rsid w:val="00743C48"/>
    <w:rsid w:val="00743FE4"/>
    <w:rsid w:val="0074449E"/>
    <w:rsid w:val="00746055"/>
    <w:rsid w:val="007473A7"/>
    <w:rsid w:val="00751272"/>
    <w:rsid w:val="0075162E"/>
    <w:rsid w:val="00752067"/>
    <w:rsid w:val="00754034"/>
    <w:rsid w:val="00756556"/>
    <w:rsid w:val="00757842"/>
    <w:rsid w:val="00760958"/>
    <w:rsid w:val="007618C4"/>
    <w:rsid w:val="00764096"/>
    <w:rsid w:val="007663CB"/>
    <w:rsid w:val="0076780D"/>
    <w:rsid w:val="00767980"/>
    <w:rsid w:val="00770B19"/>
    <w:rsid w:val="007732B6"/>
    <w:rsid w:val="0077463F"/>
    <w:rsid w:val="007759C7"/>
    <w:rsid w:val="00777843"/>
    <w:rsid w:val="00777AB5"/>
    <w:rsid w:val="00783341"/>
    <w:rsid w:val="007836EA"/>
    <w:rsid w:val="007837A0"/>
    <w:rsid w:val="00784CDA"/>
    <w:rsid w:val="00787DA3"/>
    <w:rsid w:val="0079008D"/>
    <w:rsid w:val="007906C4"/>
    <w:rsid w:val="00790965"/>
    <w:rsid w:val="00792318"/>
    <w:rsid w:val="007940EA"/>
    <w:rsid w:val="0079618B"/>
    <w:rsid w:val="00796304"/>
    <w:rsid w:val="007967E8"/>
    <w:rsid w:val="007A13E5"/>
    <w:rsid w:val="007A2170"/>
    <w:rsid w:val="007A22BF"/>
    <w:rsid w:val="007A3323"/>
    <w:rsid w:val="007A41C4"/>
    <w:rsid w:val="007A4646"/>
    <w:rsid w:val="007A5813"/>
    <w:rsid w:val="007A6517"/>
    <w:rsid w:val="007A72AE"/>
    <w:rsid w:val="007B01B5"/>
    <w:rsid w:val="007B3D9F"/>
    <w:rsid w:val="007B4472"/>
    <w:rsid w:val="007B5DCC"/>
    <w:rsid w:val="007B64D6"/>
    <w:rsid w:val="007B72B8"/>
    <w:rsid w:val="007B7A58"/>
    <w:rsid w:val="007C0265"/>
    <w:rsid w:val="007C0907"/>
    <w:rsid w:val="007C11EB"/>
    <w:rsid w:val="007C17FC"/>
    <w:rsid w:val="007C21B5"/>
    <w:rsid w:val="007C5B74"/>
    <w:rsid w:val="007C6151"/>
    <w:rsid w:val="007C69C2"/>
    <w:rsid w:val="007C6DD7"/>
    <w:rsid w:val="007D076E"/>
    <w:rsid w:val="007D28C0"/>
    <w:rsid w:val="007D41C9"/>
    <w:rsid w:val="007D4345"/>
    <w:rsid w:val="007D4604"/>
    <w:rsid w:val="007D54ED"/>
    <w:rsid w:val="007E0E5F"/>
    <w:rsid w:val="007E294A"/>
    <w:rsid w:val="007E3F81"/>
    <w:rsid w:val="007E4BD2"/>
    <w:rsid w:val="007E51BB"/>
    <w:rsid w:val="007E5426"/>
    <w:rsid w:val="007E5EE8"/>
    <w:rsid w:val="007E74F1"/>
    <w:rsid w:val="007F1FB8"/>
    <w:rsid w:val="007F5F4D"/>
    <w:rsid w:val="007F5FF6"/>
    <w:rsid w:val="007F6306"/>
    <w:rsid w:val="007F7071"/>
    <w:rsid w:val="007F74B4"/>
    <w:rsid w:val="007F78C4"/>
    <w:rsid w:val="008000A2"/>
    <w:rsid w:val="00800DF2"/>
    <w:rsid w:val="00800FE0"/>
    <w:rsid w:val="00801393"/>
    <w:rsid w:val="00801464"/>
    <w:rsid w:val="0080187C"/>
    <w:rsid w:val="00801FDB"/>
    <w:rsid w:val="00802F88"/>
    <w:rsid w:val="008032F3"/>
    <w:rsid w:val="008034B4"/>
    <w:rsid w:val="00803E9D"/>
    <w:rsid w:val="00806516"/>
    <w:rsid w:val="0081293E"/>
    <w:rsid w:val="008141F1"/>
    <w:rsid w:val="00814839"/>
    <w:rsid w:val="00815465"/>
    <w:rsid w:val="00815E41"/>
    <w:rsid w:val="008169B9"/>
    <w:rsid w:val="00816F6D"/>
    <w:rsid w:val="00817E9A"/>
    <w:rsid w:val="0082064E"/>
    <w:rsid w:val="008212F9"/>
    <w:rsid w:val="00821480"/>
    <w:rsid w:val="00821D99"/>
    <w:rsid w:val="00824B83"/>
    <w:rsid w:val="008250CE"/>
    <w:rsid w:val="008306BD"/>
    <w:rsid w:val="008317F8"/>
    <w:rsid w:val="00831A80"/>
    <w:rsid w:val="00833743"/>
    <w:rsid w:val="00833CE9"/>
    <w:rsid w:val="008340A4"/>
    <w:rsid w:val="008347B5"/>
    <w:rsid w:val="00836819"/>
    <w:rsid w:val="008372F8"/>
    <w:rsid w:val="0083795D"/>
    <w:rsid w:val="00842EF3"/>
    <w:rsid w:val="00843274"/>
    <w:rsid w:val="00846931"/>
    <w:rsid w:val="00846F57"/>
    <w:rsid w:val="00850A46"/>
    <w:rsid w:val="0085187B"/>
    <w:rsid w:val="0085330A"/>
    <w:rsid w:val="00853FA9"/>
    <w:rsid w:val="0085564A"/>
    <w:rsid w:val="00856C8C"/>
    <w:rsid w:val="00857D60"/>
    <w:rsid w:val="00857E1A"/>
    <w:rsid w:val="008602F2"/>
    <w:rsid w:val="008609F7"/>
    <w:rsid w:val="00860E74"/>
    <w:rsid w:val="00860E97"/>
    <w:rsid w:val="0086111D"/>
    <w:rsid w:val="00866723"/>
    <w:rsid w:val="0087135F"/>
    <w:rsid w:val="008729EE"/>
    <w:rsid w:val="00872D94"/>
    <w:rsid w:val="00874052"/>
    <w:rsid w:val="00874925"/>
    <w:rsid w:val="008758D7"/>
    <w:rsid w:val="00875EDC"/>
    <w:rsid w:val="00876B54"/>
    <w:rsid w:val="00880101"/>
    <w:rsid w:val="00880364"/>
    <w:rsid w:val="0088037D"/>
    <w:rsid w:val="00880B6C"/>
    <w:rsid w:val="00881FF4"/>
    <w:rsid w:val="008840F7"/>
    <w:rsid w:val="00886BCD"/>
    <w:rsid w:val="00886C03"/>
    <w:rsid w:val="008872E3"/>
    <w:rsid w:val="008900D1"/>
    <w:rsid w:val="00891592"/>
    <w:rsid w:val="00891DD3"/>
    <w:rsid w:val="00891E9E"/>
    <w:rsid w:val="00893056"/>
    <w:rsid w:val="00893227"/>
    <w:rsid w:val="00894076"/>
    <w:rsid w:val="00894975"/>
    <w:rsid w:val="00896874"/>
    <w:rsid w:val="008A2F68"/>
    <w:rsid w:val="008A3868"/>
    <w:rsid w:val="008A3D26"/>
    <w:rsid w:val="008A40AB"/>
    <w:rsid w:val="008A53BA"/>
    <w:rsid w:val="008A680E"/>
    <w:rsid w:val="008A75F5"/>
    <w:rsid w:val="008B4FA6"/>
    <w:rsid w:val="008B5282"/>
    <w:rsid w:val="008B7C17"/>
    <w:rsid w:val="008B7EBE"/>
    <w:rsid w:val="008C059C"/>
    <w:rsid w:val="008C2D01"/>
    <w:rsid w:val="008C40E6"/>
    <w:rsid w:val="008C709C"/>
    <w:rsid w:val="008D0F7A"/>
    <w:rsid w:val="008D48AB"/>
    <w:rsid w:val="008D49E9"/>
    <w:rsid w:val="008D68E4"/>
    <w:rsid w:val="008D6CBF"/>
    <w:rsid w:val="008E0506"/>
    <w:rsid w:val="008E0CFF"/>
    <w:rsid w:val="008E1C94"/>
    <w:rsid w:val="008E1DCC"/>
    <w:rsid w:val="008E1F49"/>
    <w:rsid w:val="008E4D00"/>
    <w:rsid w:val="008E5D6B"/>
    <w:rsid w:val="008E76F0"/>
    <w:rsid w:val="008E7BE3"/>
    <w:rsid w:val="008F1217"/>
    <w:rsid w:val="008F15FE"/>
    <w:rsid w:val="008F2D29"/>
    <w:rsid w:val="008F5187"/>
    <w:rsid w:val="008F52F2"/>
    <w:rsid w:val="008F60D8"/>
    <w:rsid w:val="008F6D6A"/>
    <w:rsid w:val="008F7103"/>
    <w:rsid w:val="008F7F0B"/>
    <w:rsid w:val="00902534"/>
    <w:rsid w:val="00902727"/>
    <w:rsid w:val="0090312B"/>
    <w:rsid w:val="0090325C"/>
    <w:rsid w:val="00904678"/>
    <w:rsid w:val="009050A1"/>
    <w:rsid w:val="00906D29"/>
    <w:rsid w:val="00910D4B"/>
    <w:rsid w:val="00914B88"/>
    <w:rsid w:val="00915AF7"/>
    <w:rsid w:val="00915F0A"/>
    <w:rsid w:val="00916DE5"/>
    <w:rsid w:val="0091736D"/>
    <w:rsid w:val="00920534"/>
    <w:rsid w:val="00920EAB"/>
    <w:rsid w:val="00922C90"/>
    <w:rsid w:val="00925617"/>
    <w:rsid w:val="0093037A"/>
    <w:rsid w:val="00934223"/>
    <w:rsid w:val="0093501C"/>
    <w:rsid w:val="009357B1"/>
    <w:rsid w:val="0094018A"/>
    <w:rsid w:val="0094154D"/>
    <w:rsid w:val="00943F66"/>
    <w:rsid w:val="0094697A"/>
    <w:rsid w:val="00947CE8"/>
    <w:rsid w:val="00947F10"/>
    <w:rsid w:val="0095099D"/>
    <w:rsid w:val="0095155F"/>
    <w:rsid w:val="00951FC3"/>
    <w:rsid w:val="009525EC"/>
    <w:rsid w:val="00954429"/>
    <w:rsid w:val="00955045"/>
    <w:rsid w:val="009563CE"/>
    <w:rsid w:val="00956FD7"/>
    <w:rsid w:val="00957553"/>
    <w:rsid w:val="009644BC"/>
    <w:rsid w:val="009737A5"/>
    <w:rsid w:val="00974B3D"/>
    <w:rsid w:val="009755F4"/>
    <w:rsid w:val="00975627"/>
    <w:rsid w:val="00976328"/>
    <w:rsid w:val="009764C0"/>
    <w:rsid w:val="0097680D"/>
    <w:rsid w:val="009819FD"/>
    <w:rsid w:val="00982438"/>
    <w:rsid w:val="00983AF8"/>
    <w:rsid w:val="00983FC0"/>
    <w:rsid w:val="0098404C"/>
    <w:rsid w:val="00985283"/>
    <w:rsid w:val="0098574E"/>
    <w:rsid w:val="0098593A"/>
    <w:rsid w:val="009868BF"/>
    <w:rsid w:val="00990846"/>
    <w:rsid w:val="009923D1"/>
    <w:rsid w:val="00995936"/>
    <w:rsid w:val="00995992"/>
    <w:rsid w:val="009962F4"/>
    <w:rsid w:val="00996A99"/>
    <w:rsid w:val="009A03E5"/>
    <w:rsid w:val="009A0F3B"/>
    <w:rsid w:val="009A1761"/>
    <w:rsid w:val="009A1BB4"/>
    <w:rsid w:val="009A2628"/>
    <w:rsid w:val="009A2D38"/>
    <w:rsid w:val="009A2D93"/>
    <w:rsid w:val="009A3200"/>
    <w:rsid w:val="009A3820"/>
    <w:rsid w:val="009A4850"/>
    <w:rsid w:val="009A4CE6"/>
    <w:rsid w:val="009A754C"/>
    <w:rsid w:val="009A7FC5"/>
    <w:rsid w:val="009B0897"/>
    <w:rsid w:val="009B106D"/>
    <w:rsid w:val="009B10C2"/>
    <w:rsid w:val="009B289D"/>
    <w:rsid w:val="009B67A1"/>
    <w:rsid w:val="009B7BD9"/>
    <w:rsid w:val="009C3181"/>
    <w:rsid w:val="009C513E"/>
    <w:rsid w:val="009C6B65"/>
    <w:rsid w:val="009C7DD5"/>
    <w:rsid w:val="009D067A"/>
    <w:rsid w:val="009D071B"/>
    <w:rsid w:val="009D0A85"/>
    <w:rsid w:val="009D2B26"/>
    <w:rsid w:val="009D49E7"/>
    <w:rsid w:val="009D5CD4"/>
    <w:rsid w:val="009D60B7"/>
    <w:rsid w:val="009D7584"/>
    <w:rsid w:val="009E0887"/>
    <w:rsid w:val="009E0CD3"/>
    <w:rsid w:val="009E20AF"/>
    <w:rsid w:val="009E2267"/>
    <w:rsid w:val="009E227D"/>
    <w:rsid w:val="009E3CEF"/>
    <w:rsid w:val="009E45FA"/>
    <w:rsid w:val="009E46EE"/>
    <w:rsid w:val="009E4992"/>
    <w:rsid w:val="009E5019"/>
    <w:rsid w:val="009E620B"/>
    <w:rsid w:val="009E6E49"/>
    <w:rsid w:val="009F0935"/>
    <w:rsid w:val="009F296B"/>
    <w:rsid w:val="009F36A2"/>
    <w:rsid w:val="009F3D49"/>
    <w:rsid w:val="009F42F4"/>
    <w:rsid w:val="009F4FCC"/>
    <w:rsid w:val="009F5D59"/>
    <w:rsid w:val="009F66CE"/>
    <w:rsid w:val="009F7EFA"/>
    <w:rsid w:val="00A01664"/>
    <w:rsid w:val="00A01DB0"/>
    <w:rsid w:val="00A02F4D"/>
    <w:rsid w:val="00A04F1B"/>
    <w:rsid w:val="00A0501B"/>
    <w:rsid w:val="00A052BB"/>
    <w:rsid w:val="00A065EE"/>
    <w:rsid w:val="00A06718"/>
    <w:rsid w:val="00A07EEE"/>
    <w:rsid w:val="00A146F7"/>
    <w:rsid w:val="00A14947"/>
    <w:rsid w:val="00A16A66"/>
    <w:rsid w:val="00A16B02"/>
    <w:rsid w:val="00A17A55"/>
    <w:rsid w:val="00A20749"/>
    <w:rsid w:val="00A24D52"/>
    <w:rsid w:val="00A25D68"/>
    <w:rsid w:val="00A27169"/>
    <w:rsid w:val="00A32A83"/>
    <w:rsid w:val="00A35CC2"/>
    <w:rsid w:val="00A368DB"/>
    <w:rsid w:val="00A40F5F"/>
    <w:rsid w:val="00A41CA1"/>
    <w:rsid w:val="00A423AA"/>
    <w:rsid w:val="00A43E51"/>
    <w:rsid w:val="00A459F4"/>
    <w:rsid w:val="00A46BC0"/>
    <w:rsid w:val="00A47837"/>
    <w:rsid w:val="00A5112C"/>
    <w:rsid w:val="00A52E40"/>
    <w:rsid w:val="00A53EC6"/>
    <w:rsid w:val="00A54399"/>
    <w:rsid w:val="00A547EB"/>
    <w:rsid w:val="00A55C0F"/>
    <w:rsid w:val="00A55CAC"/>
    <w:rsid w:val="00A64C60"/>
    <w:rsid w:val="00A676A0"/>
    <w:rsid w:val="00A677C9"/>
    <w:rsid w:val="00A707EB"/>
    <w:rsid w:val="00A71FF4"/>
    <w:rsid w:val="00A726F5"/>
    <w:rsid w:val="00A73206"/>
    <w:rsid w:val="00A736C9"/>
    <w:rsid w:val="00A73C33"/>
    <w:rsid w:val="00A76218"/>
    <w:rsid w:val="00A77DCB"/>
    <w:rsid w:val="00A80C7C"/>
    <w:rsid w:val="00A84B8C"/>
    <w:rsid w:val="00A8516F"/>
    <w:rsid w:val="00A85865"/>
    <w:rsid w:val="00A85C44"/>
    <w:rsid w:val="00A8664E"/>
    <w:rsid w:val="00A8713F"/>
    <w:rsid w:val="00A900BA"/>
    <w:rsid w:val="00A90BA1"/>
    <w:rsid w:val="00A94E6E"/>
    <w:rsid w:val="00A97285"/>
    <w:rsid w:val="00A97A9A"/>
    <w:rsid w:val="00A97B57"/>
    <w:rsid w:val="00AA0283"/>
    <w:rsid w:val="00AA0671"/>
    <w:rsid w:val="00AA2531"/>
    <w:rsid w:val="00AA5125"/>
    <w:rsid w:val="00AA6BA1"/>
    <w:rsid w:val="00AA73ED"/>
    <w:rsid w:val="00AA7623"/>
    <w:rsid w:val="00AA79C5"/>
    <w:rsid w:val="00AB1E09"/>
    <w:rsid w:val="00AB4825"/>
    <w:rsid w:val="00AB5330"/>
    <w:rsid w:val="00AB7747"/>
    <w:rsid w:val="00AB7E60"/>
    <w:rsid w:val="00AC14CE"/>
    <w:rsid w:val="00AC2A56"/>
    <w:rsid w:val="00AC62FE"/>
    <w:rsid w:val="00AD055E"/>
    <w:rsid w:val="00AD47A7"/>
    <w:rsid w:val="00AD4866"/>
    <w:rsid w:val="00AD5B0B"/>
    <w:rsid w:val="00AD6162"/>
    <w:rsid w:val="00AD6FCB"/>
    <w:rsid w:val="00AD786F"/>
    <w:rsid w:val="00AE1396"/>
    <w:rsid w:val="00AE3F0F"/>
    <w:rsid w:val="00AE7B76"/>
    <w:rsid w:val="00AE7BD8"/>
    <w:rsid w:val="00AF0CBF"/>
    <w:rsid w:val="00AF257F"/>
    <w:rsid w:val="00AF2E80"/>
    <w:rsid w:val="00AF33CF"/>
    <w:rsid w:val="00AF366A"/>
    <w:rsid w:val="00AF4D50"/>
    <w:rsid w:val="00AF57B0"/>
    <w:rsid w:val="00AF6179"/>
    <w:rsid w:val="00AF6E20"/>
    <w:rsid w:val="00B01FDA"/>
    <w:rsid w:val="00B028B3"/>
    <w:rsid w:val="00B0375A"/>
    <w:rsid w:val="00B03880"/>
    <w:rsid w:val="00B059CE"/>
    <w:rsid w:val="00B06579"/>
    <w:rsid w:val="00B067B9"/>
    <w:rsid w:val="00B06A6E"/>
    <w:rsid w:val="00B10B1D"/>
    <w:rsid w:val="00B1262C"/>
    <w:rsid w:val="00B1295A"/>
    <w:rsid w:val="00B20A45"/>
    <w:rsid w:val="00B20CA1"/>
    <w:rsid w:val="00B20D14"/>
    <w:rsid w:val="00B22109"/>
    <w:rsid w:val="00B22156"/>
    <w:rsid w:val="00B224E2"/>
    <w:rsid w:val="00B22C5C"/>
    <w:rsid w:val="00B24F30"/>
    <w:rsid w:val="00B256BE"/>
    <w:rsid w:val="00B26674"/>
    <w:rsid w:val="00B27E6D"/>
    <w:rsid w:val="00B31ABF"/>
    <w:rsid w:val="00B3218C"/>
    <w:rsid w:val="00B3316C"/>
    <w:rsid w:val="00B33BE3"/>
    <w:rsid w:val="00B35A78"/>
    <w:rsid w:val="00B37771"/>
    <w:rsid w:val="00B42213"/>
    <w:rsid w:val="00B44451"/>
    <w:rsid w:val="00B4452E"/>
    <w:rsid w:val="00B44D0A"/>
    <w:rsid w:val="00B50245"/>
    <w:rsid w:val="00B51A42"/>
    <w:rsid w:val="00B53B5D"/>
    <w:rsid w:val="00B546BC"/>
    <w:rsid w:val="00B55266"/>
    <w:rsid w:val="00B6055E"/>
    <w:rsid w:val="00B60BDD"/>
    <w:rsid w:val="00B6317D"/>
    <w:rsid w:val="00B670B1"/>
    <w:rsid w:val="00B6765D"/>
    <w:rsid w:val="00B70834"/>
    <w:rsid w:val="00B75513"/>
    <w:rsid w:val="00B75D1D"/>
    <w:rsid w:val="00B76430"/>
    <w:rsid w:val="00B7723F"/>
    <w:rsid w:val="00B77F6C"/>
    <w:rsid w:val="00B8020A"/>
    <w:rsid w:val="00B80495"/>
    <w:rsid w:val="00B80534"/>
    <w:rsid w:val="00B812C8"/>
    <w:rsid w:val="00B82C73"/>
    <w:rsid w:val="00B8389E"/>
    <w:rsid w:val="00B8433C"/>
    <w:rsid w:val="00B85AEF"/>
    <w:rsid w:val="00B86DB0"/>
    <w:rsid w:val="00B87491"/>
    <w:rsid w:val="00B927E3"/>
    <w:rsid w:val="00B93538"/>
    <w:rsid w:val="00B94003"/>
    <w:rsid w:val="00B958AC"/>
    <w:rsid w:val="00B9721F"/>
    <w:rsid w:val="00B97624"/>
    <w:rsid w:val="00BA1E15"/>
    <w:rsid w:val="00BA29E9"/>
    <w:rsid w:val="00BA7142"/>
    <w:rsid w:val="00BA72A3"/>
    <w:rsid w:val="00BA76A3"/>
    <w:rsid w:val="00BA7818"/>
    <w:rsid w:val="00BA78B8"/>
    <w:rsid w:val="00BB0A18"/>
    <w:rsid w:val="00BB237C"/>
    <w:rsid w:val="00BB41A3"/>
    <w:rsid w:val="00BB4C88"/>
    <w:rsid w:val="00BB5FAB"/>
    <w:rsid w:val="00BB605D"/>
    <w:rsid w:val="00BB6158"/>
    <w:rsid w:val="00BB66DA"/>
    <w:rsid w:val="00BB79C2"/>
    <w:rsid w:val="00BC2520"/>
    <w:rsid w:val="00BC32DC"/>
    <w:rsid w:val="00BC35B6"/>
    <w:rsid w:val="00BC4015"/>
    <w:rsid w:val="00BC4AD7"/>
    <w:rsid w:val="00BC61C9"/>
    <w:rsid w:val="00BC650A"/>
    <w:rsid w:val="00BC7E65"/>
    <w:rsid w:val="00BD1B51"/>
    <w:rsid w:val="00BD1FF4"/>
    <w:rsid w:val="00BD3580"/>
    <w:rsid w:val="00BD4596"/>
    <w:rsid w:val="00BD4BAF"/>
    <w:rsid w:val="00BE0134"/>
    <w:rsid w:val="00BE0BFD"/>
    <w:rsid w:val="00BE0DE8"/>
    <w:rsid w:val="00BE1405"/>
    <w:rsid w:val="00BE1548"/>
    <w:rsid w:val="00BE312D"/>
    <w:rsid w:val="00BE31DB"/>
    <w:rsid w:val="00BE32CD"/>
    <w:rsid w:val="00BE5E19"/>
    <w:rsid w:val="00BF0F7C"/>
    <w:rsid w:val="00BF19B2"/>
    <w:rsid w:val="00BF1C20"/>
    <w:rsid w:val="00BF7690"/>
    <w:rsid w:val="00C01438"/>
    <w:rsid w:val="00C01749"/>
    <w:rsid w:val="00C0205F"/>
    <w:rsid w:val="00C02082"/>
    <w:rsid w:val="00C02520"/>
    <w:rsid w:val="00C0454A"/>
    <w:rsid w:val="00C0628B"/>
    <w:rsid w:val="00C0796E"/>
    <w:rsid w:val="00C10578"/>
    <w:rsid w:val="00C134CF"/>
    <w:rsid w:val="00C135BC"/>
    <w:rsid w:val="00C15C95"/>
    <w:rsid w:val="00C16701"/>
    <w:rsid w:val="00C179EA"/>
    <w:rsid w:val="00C20CAC"/>
    <w:rsid w:val="00C214F0"/>
    <w:rsid w:val="00C21B85"/>
    <w:rsid w:val="00C22145"/>
    <w:rsid w:val="00C23413"/>
    <w:rsid w:val="00C24303"/>
    <w:rsid w:val="00C2596A"/>
    <w:rsid w:val="00C27537"/>
    <w:rsid w:val="00C302B6"/>
    <w:rsid w:val="00C319F8"/>
    <w:rsid w:val="00C328FE"/>
    <w:rsid w:val="00C33507"/>
    <w:rsid w:val="00C33F9E"/>
    <w:rsid w:val="00C41384"/>
    <w:rsid w:val="00C4409D"/>
    <w:rsid w:val="00C44E72"/>
    <w:rsid w:val="00C45A06"/>
    <w:rsid w:val="00C47E5B"/>
    <w:rsid w:val="00C515E7"/>
    <w:rsid w:val="00C52480"/>
    <w:rsid w:val="00C537CB"/>
    <w:rsid w:val="00C54F98"/>
    <w:rsid w:val="00C57826"/>
    <w:rsid w:val="00C61A04"/>
    <w:rsid w:val="00C61D94"/>
    <w:rsid w:val="00C61E4B"/>
    <w:rsid w:val="00C63079"/>
    <w:rsid w:val="00C63494"/>
    <w:rsid w:val="00C646F6"/>
    <w:rsid w:val="00C64BFF"/>
    <w:rsid w:val="00C65AA8"/>
    <w:rsid w:val="00C704E9"/>
    <w:rsid w:val="00C7073C"/>
    <w:rsid w:val="00C71D83"/>
    <w:rsid w:val="00C728AC"/>
    <w:rsid w:val="00C72A22"/>
    <w:rsid w:val="00C75103"/>
    <w:rsid w:val="00C753A4"/>
    <w:rsid w:val="00C756F6"/>
    <w:rsid w:val="00C763C9"/>
    <w:rsid w:val="00C76E9E"/>
    <w:rsid w:val="00C778D3"/>
    <w:rsid w:val="00C779A7"/>
    <w:rsid w:val="00C80057"/>
    <w:rsid w:val="00C81121"/>
    <w:rsid w:val="00C82232"/>
    <w:rsid w:val="00C82913"/>
    <w:rsid w:val="00C82A3D"/>
    <w:rsid w:val="00C82E5A"/>
    <w:rsid w:val="00C83EEB"/>
    <w:rsid w:val="00C91068"/>
    <w:rsid w:val="00C9354D"/>
    <w:rsid w:val="00C93B6E"/>
    <w:rsid w:val="00C972B1"/>
    <w:rsid w:val="00CA03DD"/>
    <w:rsid w:val="00CA0B47"/>
    <w:rsid w:val="00CA1A53"/>
    <w:rsid w:val="00CA20A1"/>
    <w:rsid w:val="00CA21F9"/>
    <w:rsid w:val="00CA258F"/>
    <w:rsid w:val="00CA2CCE"/>
    <w:rsid w:val="00CA43FD"/>
    <w:rsid w:val="00CA4CD5"/>
    <w:rsid w:val="00CA7A63"/>
    <w:rsid w:val="00CA7EF8"/>
    <w:rsid w:val="00CB09B8"/>
    <w:rsid w:val="00CB2A14"/>
    <w:rsid w:val="00CB5B1D"/>
    <w:rsid w:val="00CC3587"/>
    <w:rsid w:val="00CC489B"/>
    <w:rsid w:val="00CC4B79"/>
    <w:rsid w:val="00CC6981"/>
    <w:rsid w:val="00CD0B2D"/>
    <w:rsid w:val="00CD2BCD"/>
    <w:rsid w:val="00CD3A4C"/>
    <w:rsid w:val="00CD46EC"/>
    <w:rsid w:val="00CD5507"/>
    <w:rsid w:val="00CD6512"/>
    <w:rsid w:val="00CD718E"/>
    <w:rsid w:val="00CE0EFB"/>
    <w:rsid w:val="00CE10E9"/>
    <w:rsid w:val="00CE1A0C"/>
    <w:rsid w:val="00CE1CC2"/>
    <w:rsid w:val="00CE2910"/>
    <w:rsid w:val="00CE3934"/>
    <w:rsid w:val="00CE4361"/>
    <w:rsid w:val="00CE5393"/>
    <w:rsid w:val="00CE5DDC"/>
    <w:rsid w:val="00CE6827"/>
    <w:rsid w:val="00CE7ED7"/>
    <w:rsid w:val="00CF0B79"/>
    <w:rsid w:val="00CF36BE"/>
    <w:rsid w:val="00CF417B"/>
    <w:rsid w:val="00CF45BE"/>
    <w:rsid w:val="00CF4AAE"/>
    <w:rsid w:val="00CF6000"/>
    <w:rsid w:val="00CF6F60"/>
    <w:rsid w:val="00D003F3"/>
    <w:rsid w:val="00D0364F"/>
    <w:rsid w:val="00D03730"/>
    <w:rsid w:val="00D06834"/>
    <w:rsid w:val="00D10CA7"/>
    <w:rsid w:val="00D12F95"/>
    <w:rsid w:val="00D13EA9"/>
    <w:rsid w:val="00D16B8E"/>
    <w:rsid w:val="00D17632"/>
    <w:rsid w:val="00D22FE8"/>
    <w:rsid w:val="00D230B3"/>
    <w:rsid w:val="00D24389"/>
    <w:rsid w:val="00D308ED"/>
    <w:rsid w:val="00D32DAC"/>
    <w:rsid w:val="00D34775"/>
    <w:rsid w:val="00D3510D"/>
    <w:rsid w:val="00D36053"/>
    <w:rsid w:val="00D36235"/>
    <w:rsid w:val="00D36D86"/>
    <w:rsid w:val="00D36FAF"/>
    <w:rsid w:val="00D37FC7"/>
    <w:rsid w:val="00D428AA"/>
    <w:rsid w:val="00D4792E"/>
    <w:rsid w:val="00D50A34"/>
    <w:rsid w:val="00D52569"/>
    <w:rsid w:val="00D53EFA"/>
    <w:rsid w:val="00D54BF6"/>
    <w:rsid w:val="00D56E51"/>
    <w:rsid w:val="00D57405"/>
    <w:rsid w:val="00D578E4"/>
    <w:rsid w:val="00D60DF6"/>
    <w:rsid w:val="00D611A4"/>
    <w:rsid w:val="00D61511"/>
    <w:rsid w:val="00D625F3"/>
    <w:rsid w:val="00D630F5"/>
    <w:rsid w:val="00D65B0F"/>
    <w:rsid w:val="00D72077"/>
    <w:rsid w:val="00D73098"/>
    <w:rsid w:val="00D742FC"/>
    <w:rsid w:val="00D77C0B"/>
    <w:rsid w:val="00D83E5B"/>
    <w:rsid w:val="00D85118"/>
    <w:rsid w:val="00D86F49"/>
    <w:rsid w:val="00D90ED0"/>
    <w:rsid w:val="00D9279F"/>
    <w:rsid w:val="00D94A7C"/>
    <w:rsid w:val="00D95896"/>
    <w:rsid w:val="00D95FF0"/>
    <w:rsid w:val="00D9776D"/>
    <w:rsid w:val="00DA0285"/>
    <w:rsid w:val="00DA0816"/>
    <w:rsid w:val="00DA2040"/>
    <w:rsid w:val="00DA5AD6"/>
    <w:rsid w:val="00DA6EA6"/>
    <w:rsid w:val="00DB2877"/>
    <w:rsid w:val="00DB2983"/>
    <w:rsid w:val="00DB4994"/>
    <w:rsid w:val="00DB5214"/>
    <w:rsid w:val="00DC1257"/>
    <w:rsid w:val="00DC1365"/>
    <w:rsid w:val="00DC2337"/>
    <w:rsid w:val="00DC2584"/>
    <w:rsid w:val="00DC3DC0"/>
    <w:rsid w:val="00DC4177"/>
    <w:rsid w:val="00DC5B2B"/>
    <w:rsid w:val="00DD0D33"/>
    <w:rsid w:val="00DD318D"/>
    <w:rsid w:val="00DD434D"/>
    <w:rsid w:val="00DD78CB"/>
    <w:rsid w:val="00DE0D89"/>
    <w:rsid w:val="00DE2920"/>
    <w:rsid w:val="00DE5C5B"/>
    <w:rsid w:val="00DF005D"/>
    <w:rsid w:val="00DF0CDB"/>
    <w:rsid w:val="00DF2E12"/>
    <w:rsid w:val="00DF36AC"/>
    <w:rsid w:val="00DF3750"/>
    <w:rsid w:val="00DF514A"/>
    <w:rsid w:val="00DF6690"/>
    <w:rsid w:val="00DF6779"/>
    <w:rsid w:val="00DF6804"/>
    <w:rsid w:val="00DF6A6D"/>
    <w:rsid w:val="00DF6C47"/>
    <w:rsid w:val="00E02249"/>
    <w:rsid w:val="00E0358D"/>
    <w:rsid w:val="00E03BD8"/>
    <w:rsid w:val="00E04323"/>
    <w:rsid w:val="00E05176"/>
    <w:rsid w:val="00E06157"/>
    <w:rsid w:val="00E070A2"/>
    <w:rsid w:val="00E12E44"/>
    <w:rsid w:val="00E178A4"/>
    <w:rsid w:val="00E17D0D"/>
    <w:rsid w:val="00E214F8"/>
    <w:rsid w:val="00E21D95"/>
    <w:rsid w:val="00E230D6"/>
    <w:rsid w:val="00E23970"/>
    <w:rsid w:val="00E25875"/>
    <w:rsid w:val="00E2656A"/>
    <w:rsid w:val="00E27D94"/>
    <w:rsid w:val="00E32F0D"/>
    <w:rsid w:val="00E369AD"/>
    <w:rsid w:val="00E3740A"/>
    <w:rsid w:val="00E40E0C"/>
    <w:rsid w:val="00E40EF1"/>
    <w:rsid w:val="00E412D0"/>
    <w:rsid w:val="00E42A02"/>
    <w:rsid w:val="00E45C93"/>
    <w:rsid w:val="00E46C00"/>
    <w:rsid w:val="00E516F7"/>
    <w:rsid w:val="00E545EB"/>
    <w:rsid w:val="00E56322"/>
    <w:rsid w:val="00E567F3"/>
    <w:rsid w:val="00E57663"/>
    <w:rsid w:val="00E57F1A"/>
    <w:rsid w:val="00E60982"/>
    <w:rsid w:val="00E6164B"/>
    <w:rsid w:val="00E62C62"/>
    <w:rsid w:val="00E6531D"/>
    <w:rsid w:val="00E654C1"/>
    <w:rsid w:val="00E65D97"/>
    <w:rsid w:val="00E673E9"/>
    <w:rsid w:val="00E71EFC"/>
    <w:rsid w:val="00E72A5A"/>
    <w:rsid w:val="00E73354"/>
    <w:rsid w:val="00E765F3"/>
    <w:rsid w:val="00E8138F"/>
    <w:rsid w:val="00E8285D"/>
    <w:rsid w:val="00E82E04"/>
    <w:rsid w:val="00E84592"/>
    <w:rsid w:val="00E9023D"/>
    <w:rsid w:val="00E9053D"/>
    <w:rsid w:val="00E90C8F"/>
    <w:rsid w:val="00E9220D"/>
    <w:rsid w:val="00E9242D"/>
    <w:rsid w:val="00E92750"/>
    <w:rsid w:val="00E92E26"/>
    <w:rsid w:val="00E9317A"/>
    <w:rsid w:val="00E95BAD"/>
    <w:rsid w:val="00E95DE0"/>
    <w:rsid w:val="00E96749"/>
    <w:rsid w:val="00E9699A"/>
    <w:rsid w:val="00E97208"/>
    <w:rsid w:val="00EA7D4F"/>
    <w:rsid w:val="00EB1639"/>
    <w:rsid w:val="00EB17DA"/>
    <w:rsid w:val="00EB1C95"/>
    <w:rsid w:val="00EB1E46"/>
    <w:rsid w:val="00EB22B6"/>
    <w:rsid w:val="00EB3D41"/>
    <w:rsid w:val="00EB4B28"/>
    <w:rsid w:val="00EB5255"/>
    <w:rsid w:val="00EB583F"/>
    <w:rsid w:val="00EB5C47"/>
    <w:rsid w:val="00EB5D83"/>
    <w:rsid w:val="00EC1FF4"/>
    <w:rsid w:val="00EC47C5"/>
    <w:rsid w:val="00EC5303"/>
    <w:rsid w:val="00EC6B4B"/>
    <w:rsid w:val="00EC71A9"/>
    <w:rsid w:val="00ED00AC"/>
    <w:rsid w:val="00ED047D"/>
    <w:rsid w:val="00ED0639"/>
    <w:rsid w:val="00ED07A3"/>
    <w:rsid w:val="00ED1A08"/>
    <w:rsid w:val="00ED5E31"/>
    <w:rsid w:val="00ED6FB3"/>
    <w:rsid w:val="00ED70B4"/>
    <w:rsid w:val="00ED77BD"/>
    <w:rsid w:val="00EE1441"/>
    <w:rsid w:val="00EE1685"/>
    <w:rsid w:val="00EE1ADE"/>
    <w:rsid w:val="00EE2C04"/>
    <w:rsid w:val="00EE2F44"/>
    <w:rsid w:val="00EE3510"/>
    <w:rsid w:val="00EE5549"/>
    <w:rsid w:val="00EE7A6B"/>
    <w:rsid w:val="00EF0296"/>
    <w:rsid w:val="00EF0376"/>
    <w:rsid w:val="00EF0862"/>
    <w:rsid w:val="00EF1EA5"/>
    <w:rsid w:val="00EF4755"/>
    <w:rsid w:val="00EF7135"/>
    <w:rsid w:val="00EF7534"/>
    <w:rsid w:val="00EF7A5E"/>
    <w:rsid w:val="00EF7FE6"/>
    <w:rsid w:val="00F0023B"/>
    <w:rsid w:val="00F0211A"/>
    <w:rsid w:val="00F02675"/>
    <w:rsid w:val="00F027DB"/>
    <w:rsid w:val="00F02EF2"/>
    <w:rsid w:val="00F039A6"/>
    <w:rsid w:val="00F1032F"/>
    <w:rsid w:val="00F10CF9"/>
    <w:rsid w:val="00F115A7"/>
    <w:rsid w:val="00F1208D"/>
    <w:rsid w:val="00F13697"/>
    <w:rsid w:val="00F14A7A"/>
    <w:rsid w:val="00F15915"/>
    <w:rsid w:val="00F15E8C"/>
    <w:rsid w:val="00F21209"/>
    <w:rsid w:val="00F21950"/>
    <w:rsid w:val="00F22985"/>
    <w:rsid w:val="00F22E2A"/>
    <w:rsid w:val="00F236D3"/>
    <w:rsid w:val="00F240F9"/>
    <w:rsid w:val="00F2433C"/>
    <w:rsid w:val="00F263FA"/>
    <w:rsid w:val="00F3383E"/>
    <w:rsid w:val="00F35A32"/>
    <w:rsid w:val="00F40899"/>
    <w:rsid w:val="00F41482"/>
    <w:rsid w:val="00F41DE0"/>
    <w:rsid w:val="00F4385F"/>
    <w:rsid w:val="00F446B6"/>
    <w:rsid w:val="00F44AB4"/>
    <w:rsid w:val="00F465A7"/>
    <w:rsid w:val="00F50B7A"/>
    <w:rsid w:val="00F50B7C"/>
    <w:rsid w:val="00F546F5"/>
    <w:rsid w:val="00F550E6"/>
    <w:rsid w:val="00F554B0"/>
    <w:rsid w:val="00F60055"/>
    <w:rsid w:val="00F60A23"/>
    <w:rsid w:val="00F63590"/>
    <w:rsid w:val="00F643B3"/>
    <w:rsid w:val="00F64F62"/>
    <w:rsid w:val="00F6692A"/>
    <w:rsid w:val="00F67DA3"/>
    <w:rsid w:val="00F70597"/>
    <w:rsid w:val="00F7101E"/>
    <w:rsid w:val="00F71541"/>
    <w:rsid w:val="00F72E0C"/>
    <w:rsid w:val="00F73DB4"/>
    <w:rsid w:val="00F74345"/>
    <w:rsid w:val="00F75BA8"/>
    <w:rsid w:val="00F76243"/>
    <w:rsid w:val="00F77114"/>
    <w:rsid w:val="00F8021D"/>
    <w:rsid w:val="00F80A0A"/>
    <w:rsid w:val="00F82B19"/>
    <w:rsid w:val="00F837DE"/>
    <w:rsid w:val="00F838D2"/>
    <w:rsid w:val="00F84057"/>
    <w:rsid w:val="00F84E34"/>
    <w:rsid w:val="00F90C43"/>
    <w:rsid w:val="00F90CCA"/>
    <w:rsid w:val="00F91F03"/>
    <w:rsid w:val="00F9212D"/>
    <w:rsid w:val="00F92A7C"/>
    <w:rsid w:val="00F965DA"/>
    <w:rsid w:val="00F966AD"/>
    <w:rsid w:val="00FA0109"/>
    <w:rsid w:val="00FA03EC"/>
    <w:rsid w:val="00FA406A"/>
    <w:rsid w:val="00FA43E5"/>
    <w:rsid w:val="00FA49C6"/>
    <w:rsid w:val="00FA5816"/>
    <w:rsid w:val="00FB21CA"/>
    <w:rsid w:val="00FB503A"/>
    <w:rsid w:val="00FB516C"/>
    <w:rsid w:val="00FB539C"/>
    <w:rsid w:val="00FB5553"/>
    <w:rsid w:val="00FB5801"/>
    <w:rsid w:val="00FB720A"/>
    <w:rsid w:val="00FC03E6"/>
    <w:rsid w:val="00FC399B"/>
    <w:rsid w:val="00FC3D84"/>
    <w:rsid w:val="00FD0236"/>
    <w:rsid w:val="00FD0E1C"/>
    <w:rsid w:val="00FD18F4"/>
    <w:rsid w:val="00FD39EE"/>
    <w:rsid w:val="00FD4319"/>
    <w:rsid w:val="00FD54DB"/>
    <w:rsid w:val="00FD619F"/>
    <w:rsid w:val="00FD7F64"/>
    <w:rsid w:val="00FE179A"/>
    <w:rsid w:val="00FE227E"/>
    <w:rsid w:val="00FE3798"/>
    <w:rsid w:val="00FE4055"/>
    <w:rsid w:val="00FE5321"/>
    <w:rsid w:val="00FE5B08"/>
    <w:rsid w:val="00FE5BE4"/>
    <w:rsid w:val="00FE60C6"/>
    <w:rsid w:val="00FF7441"/>
    <w:rsid w:val="0100390C"/>
    <w:rsid w:val="0103355F"/>
    <w:rsid w:val="01290F7E"/>
    <w:rsid w:val="015D1E09"/>
    <w:rsid w:val="021710CD"/>
    <w:rsid w:val="021B336F"/>
    <w:rsid w:val="024E1BDA"/>
    <w:rsid w:val="02697903"/>
    <w:rsid w:val="02990C1D"/>
    <w:rsid w:val="02A500F8"/>
    <w:rsid w:val="02AD4537"/>
    <w:rsid w:val="02D37CE0"/>
    <w:rsid w:val="02D40B87"/>
    <w:rsid w:val="02F96569"/>
    <w:rsid w:val="02FA730A"/>
    <w:rsid w:val="03902F3B"/>
    <w:rsid w:val="039C50AA"/>
    <w:rsid w:val="03EA7B21"/>
    <w:rsid w:val="042343B1"/>
    <w:rsid w:val="042B7A40"/>
    <w:rsid w:val="051B7726"/>
    <w:rsid w:val="054A6C12"/>
    <w:rsid w:val="055F5505"/>
    <w:rsid w:val="055F6A4A"/>
    <w:rsid w:val="05EA2DDC"/>
    <w:rsid w:val="05F83EAE"/>
    <w:rsid w:val="063E7D85"/>
    <w:rsid w:val="067D687B"/>
    <w:rsid w:val="06BD229F"/>
    <w:rsid w:val="06C4541D"/>
    <w:rsid w:val="06DA220C"/>
    <w:rsid w:val="07293586"/>
    <w:rsid w:val="07295285"/>
    <w:rsid w:val="07636392"/>
    <w:rsid w:val="07770C56"/>
    <w:rsid w:val="077E23AE"/>
    <w:rsid w:val="07A644A2"/>
    <w:rsid w:val="07AE423A"/>
    <w:rsid w:val="07BB2321"/>
    <w:rsid w:val="088E1B93"/>
    <w:rsid w:val="08BA2C7E"/>
    <w:rsid w:val="08D6430E"/>
    <w:rsid w:val="092217DD"/>
    <w:rsid w:val="093A7294"/>
    <w:rsid w:val="098C4D36"/>
    <w:rsid w:val="0A263993"/>
    <w:rsid w:val="0A2D3AC2"/>
    <w:rsid w:val="0A5776F6"/>
    <w:rsid w:val="0A990A7C"/>
    <w:rsid w:val="0AA755DF"/>
    <w:rsid w:val="0AF95638"/>
    <w:rsid w:val="0B120D44"/>
    <w:rsid w:val="0B3B0718"/>
    <w:rsid w:val="0B5D6B4A"/>
    <w:rsid w:val="0B860A66"/>
    <w:rsid w:val="0B980BE5"/>
    <w:rsid w:val="0BB94F68"/>
    <w:rsid w:val="0BCC5D66"/>
    <w:rsid w:val="0BCD3D94"/>
    <w:rsid w:val="0BD27BF6"/>
    <w:rsid w:val="0C1F64A2"/>
    <w:rsid w:val="0C3B3C7D"/>
    <w:rsid w:val="0C5C6A6A"/>
    <w:rsid w:val="0C6C7922"/>
    <w:rsid w:val="0C827C93"/>
    <w:rsid w:val="0CAB2EAE"/>
    <w:rsid w:val="0CB32218"/>
    <w:rsid w:val="0CD45C1F"/>
    <w:rsid w:val="0CDD0415"/>
    <w:rsid w:val="0D361AA9"/>
    <w:rsid w:val="0D621C7D"/>
    <w:rsid w:val="0E73034D"/>
    <w:rsid w:val="0E743313"/>
    <w:rsid w:val="0E95731D"/>
    <w:rsid w:val="0F0C26B8"/>
    <w:rsid w:val="0F13775A"/>
    <w:rsid w:val="0F157BC7"/>
    <w:rsid w:val="0F2346E9"/>
    <w:rsid w:val="0F5D780F"/>
    <w:rsid w:val="0F5F45FE"/>
    <w:rsid w:val="0F6103AB"/>
    <w:rsid w:val="0F800472"/>
    <w:rsid w:val="0F840A5E"/>
    <w:rsid w:val="0F8D2568"/>
    <w:rsid w:val="0F9A112B"/>
    <w:rsid w:val="0F9D559F"/>
    <w:rsid w:val="0FA817C9"/>
    <w:rsid w:val="100D4D79"/>
    <w:rsid w:val="106D2F64"/>
    <w:rsid w:val="10862500"/>
    <w:rsid w:val="10B63710"/>
    <w:rsid w:val="10F10820"/>
    <w:rsid w:val="111C2F7A"/>
    <w:rsid w:val="11665CA1"/>
    <w:rsid w:val="117F4B2C"/>
    <w:rsid w:val="11940DB4"/>
    <w:rsid w:val="11C26CA9"/>
    <w:rsid w:val="11EB7CC0"/>
    <w:rsid w:val="12CD0C24"/>
    <w:rsid w:val="13322949"/>
    <w:rsid w:val="13392CAD"/>
    <w:rsid w:val="136A1015"/>
    <w:rsid w:val="13883346"/>
    <w:rsid w:val="13951726"/>
    <w:rsid w:val="13FA7472"/>
    <w:rsid w:val="14133FCC"/>
    <w:rsid w:val="14396509"/>
    <w:rsid w:val="149D728E"/>
    <w:rsid w:val="14DD2C3C"/>
    <w:rsid w:val="150A0E92"/>
    <w:rsid w:val="152B7B3E"/>
    <w:rsid w:val="15D11E36"/>
    <w:rsid w:val="16087E1D"/>
    <w:rsid w:val="16366411"/>
    <w:rsid w:val="166F4595"/>
    <w:rsid w:val="16875C99"/>
    <w:rsid w:val="169C77DB"/>
    <w:rsid w:val="174A070D"/>
    <w:rsid w:val="176B1E45"/>
    <w:rsid w:val="17701D14"/>
    <w:rsid w:val="17735226"/>
    <w:rsid w:val="17D2539B"/>
    <w:rsid w:val="17E53F73"/>
    <w:rsid w:val="180E1588"/>
    <w:rsid w:val="180F4DB8"/>
    <w:rsid w:val="1852457A"/>
    <w:rsid w:val="18642D15"/>
    <w:rsid w:val="18866995"/>
    <w:rsid w:val="189F624C"/>
    <w:rsid w:val="19203C1A"/>
    <w:rsid w:val="193E7911"/>
    <w:rsid w:val="197B5588"/>
    <w:rsid w:val="19D93CE5"/>
    <w:rsid w:val="19E72739"/>
    <w:rsid w:val="19FB7394"/>
    <w:rsid w:val="1A1516DD"/>
    <w:rsid w:val="1A1C66C0"/>
    <w:rsid w:val="1A42393B"/>
    <w:rsid w:val="1A9C6507"/>
    <w:rsid w:val="1AA073C0"/>
    <w:rsid w:val="1AAD45DE"/>
    <w:rsid w:val="1AD61802"/>
    <w:rsid w:val="1B046F80"/>
    <w:rsid w:val="1B3267B5"/>
    <w:rsid w:val="1B3A7830"/>
    <w:rsid w:val="1B40161D"/>
    <w:rsid w:val="1B441859"/>
    <w:rsid w:val="1B4C17D7"/>
    <w:rsid w:val="1B4C6157"/>
    <w:rsid w:val="1B593EEC"/>
    <w:rsid w:val="1B6606B1"/>
    <w:rsid w:val="1B855C1E"/>
    <w:rsid w:val="1BAC3002"/>
    <w:rsid w:val="1BD547D8"/>
    <w:rsid w:val="1C005F28"/>
    <w:rsid w:val="1C204CE8"/>
    <w:rsid w:val="1C414853"/>
    <w:rsid w:val="1C591B41"/>
    <w:rsid w:val="1C5E7925"/>
    <w:rsid w:val="1CFD070F"/>
    <w:rsid w:val="1D5F6196"/>
    <w:rsid w:val="1D6132A5"/>
    <w:rsid w:val="1D774AFE"/>
    <w:rsid w:val="1D8E56D5"/>
    <w:rsid w:val="1D950792"/>
    <w:rsid w:val="1DDA1E4E"/>
    <w:rsid w:val="1DDA7B2F"/>
    <w:rsid w:val="1DF94284"/>
    <w:rsid w:val="1E082F94"/>
    <w:rsid w:val="1E6E3C89"/>
    <w:rsid w:val="1E7A43DA"/>
    <w:rsid w:val="1EB06A21"/>
    <w:rsid w:val="1EB07C6F"/>
    <w:rsid w:val="1EBF675C"/>
    <w:rsid w:val="1F97587F"/>
    <w:rsid w:val="1F9A0F77"/>
    <w:rsid w:val="1FA37E2C"/>
    <w:rsid w:val="1FB1047B"/>
    <w:rsid w:val="1FB75D16"/>
    <w:rsid w:val="1FDE05CD"/>
    <w:rsid w:val="1FE7539E"/>
    <w:rsid w:val="20671BE0"/>
    <w:rsid w:val="20963CB8"/>
    <w:rsid w:val="20A81A1B"/>
    <w:rsid w:val="20B07FB6"/>
    <w:rsid w:val="20B646FB"/>
    <w:rsid w:val="213B74B1"/>
    <w:rsid w:val="215A2310"/>
    <w:rsid w:val="21625A9D"/>
    <w:rsid w:val="21A53585"/>
    <w:rsid w:val="21DE318A"/>
    <w:rsid w:val="21EF5B80"/>
    <w:rsid w:val="21FE1FAF"/>
    <w:rsid w:val="22010237"/>
    <w:rsid w:val="2220559B"/>
    <w:rsid w:val="22576990"/>
    <w:rsid w:val="227C6073"/>
    <w:rsid w:val="22F47480"/>
    <w:rsid w:val="231B3CF8"/>
    <w:rsid w:val="234F0E18"/>
    <w:rsid w:val="23BE0E8D"/>
    <w:rsid w:val="23DE1C48"/>
    <w:rsid w:val="240210CD"/>
    <w:rsid w:val="24131610"/>
    <w:rsid w:val="241A0861"/>
    <w:rsid w:val="241A47E7"/>
    <w:rsid w:val="24463799"/>
    <w:rsid w:val="24AD7057"/>
    <w:rsid w:val="24BF09F7"/>
    <w:rsid w:val="24C17E81"/>
    <w:rsid w:val="24EA02AB"/>
    <w:rsid w:val="251F707C"/>
    <w:rsid w:val="252D53FE"/>
    <w:rsid w:val="257B5E4C"/>
    <w:rsid w:val="25824926"/>
    <w:rsid w:val="25900045"/>
    <w:rsid w:val="25A4045A"/>
    <w:rsid w:val="25D37823"/>
    <w:rsid w:val="25DC47CA"/>
    <w:rsid w:val="25EC2D81"/>
    <w:rsid w:val="269A5BE8"/>
    <w:rsid w:val="269D666E"/>
    <w:rsid w:val="27554102"/>
    <w:rsid w:val="277057A2"/>
    <w:rsid w:val="28306E3E"/>
    <w:rsid w:val="28406444"/>
    <w:rsid w:val="28491FEE"/>
    <w:rsid w:val="28697B96"/>
    <w:rsid w:val="286D547B"/>
    <w:rsid w:val="28A27541"/>
    <w:rsid w:val="28D32FE6"/>
    <w:rsid w:val="29206EB8"/>
    <w:rsid w:val="29595666"/>
    <w:rsid w:val="29634459"/>
    <w:rsid w:val="29874881"/>
    <w:rsid w:val="29B35497"/>
    <w:rsid w:val="29C95953"/>
    <w:rsid w:val="29E325E0"/>
    <w:rsid w:val="2A00626F"/>
    <w:rsid w:val="2A220C48"/>
    <w:rsid w:val="2A452503"/>
    <w:rsid w:val="2AB414F8"/>
    <w:rsid w:val="2AFA7589"/>
    <w:rsid w:val="2B037D09"/>
    <w:rsid w:val="2B2553E0"/>
    <w:rsid w:val="2B2929E2"/>
    <w:rsid w:val="2B2B0F1A"/>
    <w:rsid w:val="2B807D46"/>
    <w:rsid w:val="2B8F544D"/>
    <w:rsid w:val="2B933FC1"/>
    <w:rsid w:val="2BA84BC4"/>
    <w:rsid w:val="2BA936A8"/>
    <w:rsid w:val="2BCE686B"/>
    <w:rsid w:val="2C315A5A"/>
    <w:rsid w:val="2C4B1C25"/>
    <w:rsid w:val="2C4D0B26"/>
    <w:rsid w:val="2C4E0553"/>
    <w:rsid w:val="2C8E19DD"/>
    <w:rsid w:val="2CD93C2E"/>
    <w:rsid w:val="2CE9283B"/>
    <w:rsid w:val="2CF3690F"/>
    <w:rsid w:val="2CF76FD4"/>
    <w:rsid w:val="2D005D9A"/>
    <w:rsid w:val="2D151C3D"/>
    <w:rsid w:val="2D1E6D44"/>
    <w:rsid w:val="2D35690C"/>
    <w:rsid w:val="2D5945FB"/>
    <w:rsid w:val="2D76092E"/>
    <w:rsid w:val="2D9E56F5"/>
    <w:rsid w:val="2DEC47BA"/>
    <w:rsid w:val="2E053D3A"/>
    <w:rsid w:val="2E5D6E00"/>
    <w:rsid w:val="2E667F96"/>
    <w:rsid w:val="2E8226AB"/>
    <w:rsid w:val="2E880F70"/>
    <w:rsid w:val="2EBA10FC"/>
    <w:rsid w:val="2EF0695F"/>
    <w:rsid w:val="2F115DDB"/>
    <w:rsid w:val="2F66134A"/>
    <w:rsid w:val="2F8B5BB8"/>
    <w:rsid w:val="2FD065E6"/>
    <w:rsid w:val="2FD96870"/>
    <w:rsid w:val="300B200E"/>
    <w:rsid w:val="302B3B1B"/>
    <w:rsid w:val="303A234E"/>
    <w:rsid w:val="30580BC9"/>
    <w:rsid w:val="308E2A84"/>
    <w:rsid w:val="30AD6ADD"/>
    <w:rsid w:val="30CA4B2B"/>
    <w:rsid w:val="30E6618E"/>
    <w:rsid w:val="310A0C3E"/>
    <w:rsid w:val="311E2ED7"/>
    <w:rsid w:val="31464ABB"/>
    <w:rsid w:val="315619EE"/>
    <w:rsid w:val="315C449C"/>
    <w:rsid w:val="316C21F3"/>
    <w:rsid w:val="31B169B7"/>
    <w:rsid w:val="31B77DC2"/>
    <w:rsid w:val="31B82709"/>
    <w:rsid w:val="31CB09CA"/>
    <w:rsid w:val="31D05482"/>
    <w:rsid w:val="31D73E4F"/>
    <w:rsid w:val="31EE70C9"/>
    <w:rsid w:val="32400B34"/>
    <w:rsid w:val="32427031"/>
    <w:rsid w:val="32632E78"/>
    <w:rsid w:val="32652D3B"/>
    <w:rsid w:val="329E6876"/>
    <w:rsid w:val="32EC717C"/>
    <w:rsid w:val="333015F2"/>
    <w:rsid w:val="334B6320"/>
    <w:rsid w:val="33683E2B"/>
    <w:rsid w:val="33805724"/>
    <w:rsid w:val="33B152EE"/>
    <w:rsid w:val="33D934D4"/>
    <w:rsid w:val="33FE2F6A"/>
    <w:rsid w:val="340E07E5"/>
    <w:rsid w:val="34235BF7"/>
    <w:rsid w:val="34351D28"/>
    <w:rsid w:val="34BF3C84"/>
    <w:rsid w:val="34D6203C"/>
    <w:rsid w:val="34EC7728"/>
    <w:rsid w:val="34F974B8"/>
    <w:rsid w:val="350D4AA4"/>
    <w:rsid w:val="3518051D"/>
    <w:rsid w:val="35277A4C"/>
    <w:rsid w:val="353052F8"/>
    <w:rsid w:val="35307949"/>
    <w:rsid w:val="358C5FA8"/>
    <w:rsid w:val="35C15DF1"/>
    <w:rsid w:val="35E94B86"/>
    <w:rsid w:val="36014FA9"/>
    <w:rsid w:val="36074A7F"/>
    <w:rsid w:val="360867E3"/>
    <w:rsid w:val="363D610B"/>
    <w:rsid w:val="36923549"/>
    <w:rsid w:val="36B47B97"/>
    <w:rsid w:val="36B75FBF"/>
    <w:rsid w:val="36BD0C45"/>
    <w:rsid w:val="36C379A5"/>
    <w:rsid w:val="36F31241"/>
    <w:rsid w:val="37042A7A"/>
    <w:rsid w:val="37962FCC"/>
    <w:rsid w:val="37996FD7"/>
    <w:rsid w:val="37DF077A"/>
    <w:rsid w:val="37E00298"/>
    <w:rsid w:val="37FE40B8"/>
    <w:rsid w:val="387C010F"/>
    <w:rsid w:val="38A21AC7"/>
    <w:rsid w:val="38B302F9"/>
    <w:rsid w:val="38EA648C"/>
    <w:rsid w:val="38F12CD3"/>
    <w:rsid w:val="38F94775"/>
    <w:rsid w:val="390C0A82"/>
    <w:rsid w:val="392971ED"/>
    <w:rsid w:val="39325651"/>
    <w:rsid w:val="394133F3"/>
    <w:rsid w:val="398D7625"/>
    <w:rsid w:val="3A613B49"/>
    <w:rsid w:val="3A75547D"/>
    <w:rsid w:val="3A872856"/>
    <w:rsid w:val="3AFB1A57"/>
    <w:rsid w:val="3B0E5292"/>
    <w:rsid w:val="3B33732D"/>
    <w:rsid w:val="3B3763D1"/>
    <w:rsid w:val="3B3D6F2F"/>
    <w:rsid w:val="3B7444A1"/>
    <w:rsid w:val="3BE47316"/>
    <w:rsid w:val="3C0D2F87"/>
    <w:rsid w:val="3C2F6E1E"/>
    <w:rsid w:val="3C4F64BA"/>
    <w:rsid w:val="3C5D2ED0"/>
    <w:rsid w:val="3C9B30F3"/>
    <w:rsid w:val="3CDA245A"/>
    <w:rsid w:val="3D1E06B7"/>
    <w:rsid w:val="3DAB680B"/>
    <w:rsid w:val="3E2C5497"/>
    <w:rsid w:val="3E54777D"/>
    <w:rsid w:val="3E5A597F"/>
    <w:rsid w:val="3E695032"/>
    <w:rsid w:val="3EDA0523"/>
    <w:rsid w:val="3EFF4CB9"/>
    <w:rsid w:val="3F4C554A"/>
    <w:rsid w:val="3F6F2DE7"/>
    <w:rsid w:val="405526DF"/>
    <w:rsid w:val="407A6407"/>
    <w:rsid w:val="40856569"/>
    <w:rsid w:val="40A13C55"/>
    <w:rsid w:val="40A916B1"/>
    <w:rsid w:val="40AB7DE8"/>
    <w:rsid w:val="40B10D92"/>
    <w:rsid w:val="40CF5368"/>
    <w:rsid w:val="41102E60"/>
    <w:rsid w:val="41407217"/>
    <w:rsid w:val="41C537DA"/>
    <w:rsid w:val="41C70A99"/>
    <w:rsid w:val="4200449D"/>
    <w:rsid w:val="423A3BCC"/>
    <w:rsid w:val="424E57D2"/>
    <w:rsid w:val="425C3464"/>
    <w:rsid w:val="429352B2"/>
    <w:rsid w:val="429970F1"/>
    <w:rsid w:val="42B26C49"/>
    <w:rsid w:val="42BB3C2A"/>
    <w:rsid w:val="42DA4EDE"/>
    <w:rsid w:val="433A6FE6"/>
    <w:rsid w:val="43480868"/>
    <w:rsid w:val="4350713C"/>
    <w:rsid w:val="436653E0"/>
    <w:rsid w:val="43B830B2"/>
    <w:rsid w:val="43C4431A"/>
    <w:rsid w:val="448E738B"/>
    <w:rsid w:val="44B951CC"/>
    <w:rsid w:val="44CD14E0"/>
    <w:rsid w:val="44D77A95"/>
    <w:rsid w:val="44E44884"/>
    <w:rsid w:val="44E472DC"/>
    <w:rsid w:val="44E52E7D"/>
    <w:rsid w:val="44F20B0B"/>
    <w:rsid w:val="452E5F4C"/>
    <w:rsid w:val="45612018"/>
    <w:rsid w:val="458946E9"/>
    <w:rsid w:val="45A47C0E"/>
    <w:rsid w:val="45E00BE3"/>
    <w:rsid w:val="46170E3E"/>
    <w:rsid w:val="464B6866"/>
    <w:rsid w:val="46577FD6"/>
    <w:rsid w:val="4665558C"/>
    <w:rsid w:val="468B6FBF"/>
    <w:rsid w:val="468D0D50"/>
    <w:rsid w:val="46AD3D18"/>
    <w:rsid w:val="46D955A7"/>
    <w:rsid w:val="47133957"/>
    <w:rsid w:val="47483883"/>
    <w:rsid w:val="47782013"/>
    <w:rsid w:val="47A07E0C"/>
    <w:rsid w:val="47CB3CDE"/>
    <w:rsid w:val="47D93C9E"/>
    <w:rsid w:val="47DC740E"/>
    <w:rsid w:val="48072039"/>
    <w:rsid w:val="48642E39"/>
    <w:rsid w:val="4870272E"/>
    <w:rsid w:val="48BC06DA"/>
    <w:rsid w:val="48F23E48"/>
    <w:rsid w:val="49787384"/>
    <w:rsid w:val="49A03BF0"/>
    <w:rsid w:val="49BE4F74"/>
    <w:rsid w:val="49DC7715"/>
    <w:rsid w:val="4A023139"/>
    <w:rsid w:val="4A5C08B9"/>
    <w:rsid w:val="4A716164"/>
    <w:rsid w:val="4A7B576F"/>
    <w:rsid w:val="4AE62D1C"/>
    <w:rsid w:val="4AF561A9"/>
    <w:rsid w:val="4B3B5164"/>
    <w:rsid w:val="4B4E7104"/>
    <w:rsid w:val="4C276BEA"/>
    <w:rsid w:val="4C4A0649"/>
    <w:rsid w:val="4C7E5ECA"/>
    <w:rsid w:val="4C876AA5"/>
    <w:rsid w:val="4D0206B9"/>
    <w:rsid w:val="4D0E00FB"/>
    <w:rsid w:val="4D176606"/>
    <w:rsid w:val="4D433691"/>
    <w:rsid w:val="4D972A43"/>
    <w:rsid w:val="4DAC7F6D"/>
    <w:rsid w:val="4DCA28A4"/>
    <w:rsid w:val="4DDE04DA"/>
    <w:rsid w:val="4DE90CFC"/>
    <w:rsid w:val="4DEC4FB0"/>
    <w:rsid w:val="4DF31212"/>
    <w:rsid w:val="4E075D8A"/>
    <w:rsid w:val="4E814202"/>
    <w:rsid w:val="4E922C96"/>
    <w:rsid w:val="4EC00FAD"/>
    <w:rsid w:val="4EC05A55"/>
    <w:rsid w:val="4EE02FF7"/>
    <w:rsid w:val="4EEE25C2"/>
    <w:rsid w:val="4F262900"/>
    <w:rsid w:val="4F9843DC"/>
    <w:rsid w:val="4FC62A8C"/>
    <w:rsid w:val="4FE20F0D"/>
    <w:rsid w:val="4FE51552"/>
    <w:rsid w:val="50026FE2"/>
    <w:rsid w:val="50095BEE"/>
    <w:rsid w:val="50304CA6"/>
    <w:rsid w:val="50504C4B"/>
    <w:rsid w:val="509C6E7C"/>
    <w:rsid w:val="512D5983"/>
    <w:rsid w:val="515171AF"/>
    <w:rsid w:val="5162104E"/>
    <w:rsid w:val="51855071"/>
    <w:rsid w:val="51976AC7"/>
    <w:rsid w:val="52903990"/>
    <w:rsid w:val="52955735"/>
    <w:rsid w:val="535D7F7D"/>
    <w:rsid w:val="536B2911"/>
    <w:rsid w:val="536E502D"/>
    <w:rsid w:val="5398035A"/>
    <w:rsid w:val="53A039CC"/>
    <w:rsid w:val="53A1235C"/>
    <w:rsid w:val="53A1505A"/>
    <w:rsid w:val="54063E08"/>
    <w:rsid w:val="5407197E"/>
    <w:rsid w:val="543437E8"/>
    <w:rsid w:val="54BB7BE7"/>
    <w:rsid w:val="54F73313"/>
    <w:rsid w:val="54F80955"/>
    <w:rsid w:val="55271F5B"/>
    <w:rsid w:val="553004E6"/>
    <w:rsid w:val="555170A7"/>
    <w:rsid w:val="5587536D"/>
    <w:rsid w:val="55980385"/>
    <w:rsid w:val="559B174B"/>
    <w:rsid w:val="55CE0CF4"/>
    <w:rsid w:val="5695365E"/>
    <w:rsid w:val="569C7FF0"/>
    <w:rsid w:val="56B22A9C"/>
    <w:rsid w:val="56C01D83"/>
    <w:rsid w:val="57482A8C"/>
    <w:rsid w:val="57B72A76"/>
    <w:rsid w:val="57C3426C"/>
    <w:rsid w:val="57CE1F93"/>
    <w:rsid w:val="58874098"/>
    <w:rsid w:val="588743D1"/>
    <w:rsid w:val="5887701A"/>
    <w:rsid w:val="58A962E1"/>
    <w:rsid w:val="58B23B95"/>
    <w:rsid w:val="58D3707C"/>
    <w:rsid w:val="59177424"/>
    <w:rsid w:val="595054DA"/>
    <w:rsid w:val="59626C1D"/>
    <w:rsid w:val="59872690"/>
    <w:rsid w:val="59A10539"/>
    <w:rsid w:val="59C0439F"/>
    <w:rsid w:val="5A51529E"/>
    <w:rsid w:val="5A5D23AA"/>
    <w:rsid w:val="5ABE2233"/>
    <w:rsid w:val="5B0E50AA"/>
    <w:rsid w:val="5B9007E2"/>
    <w:rsid w:val="5BAE2E36"/>
    <w:rsid w:val="5BB73E8A"/>
    <w:rsid w:val="5BDF5D95"/>
    <w:rsid w:val="5BFE7528"/>
    <w:rsid w:val="5C272A86"/>
    <w:rsid w:val="5DB2192E"/>
    <w:rsid w:val="5E2467F1"/>
    <w:rsid w:val="5E445FD2"/>
    <w:rsid w:val="5E4536AB"/>
    <w:rsid w:val="5ED11ACC"/>
    <w:rsid w:val="5EFA6D78"/>
    <w:rsid w:val="5F1A2B43"/>
    <w:rsid w:val="5F201062"/>
    <w:rsid w:val="5FB62C60"/>
    <w:rsid w:val="5FB837BB"/>
    <w:rsid w:val="5FBE227A"/>
    <w:rsid w:val="5FE17C18"/>
    <w:rsid w:val="60193444"/>
    <w:rsid w:val="60421E29"/>
    <w:rsid w:val="60917251"/>
    <w:rsid w:val="60AA31C6"/>
    <w:rsid w:val="60CC405A"/>
    <w:rsid w:val="61011347"/>
    <w:rsid w:val="614F743B"/>
    <w:rsid w:val="61E215D8"/>
    <w:rsid w:val="62192E40"/>
    <w:rsid w:val="621B3775"/>
    <w:rsid w:val="62364782"/>
    <w:rsid w:val="624A139A"/>
    <w:rsid w:val="62A761F2"/>
    <w:rsid w:val="62A90B5C"/>
    <w:rsid w:val="62A96AD4"/>
    <w:rsid w:val="631A352E"/>
    <w:rsid w:val="6394356A"/>
    <w:rsid w:val="639978CF"/>
    <w:rsid w:val="63A649B1"/>
    <w:rsid w:val="63C61B2C"/>
    <w:rsid w:val="63D40BE9"/>
    <w:rsid w:val="63FE5996"/>
    <w:rsid w:val="6401024A"/>
    <w:rsid w:val="64102431"/>
    <w:rsid w:val="6489538B"/>
    <w:rsid w:val="64A5243A"/>
    <w:rsid w:val="64C419F6"/>
    <w:rsid w:val="64E92BC4"/>
    <w:rsid w:val="64F531DE"/>
    <w:rsid w:val="65373578"/>
    <w:rsid w:val="65F56E12"/>
    <w:rsid w:val="661A7C55"/>
    <w:rsid w:val="66443995"/>
    <w:rsid w:val="664A264A"/>
    <w:rsid w:val="66744292"/>
    <w:rsid w:val="66923211"/>
    <w:rsid w:val="66AA4FC6"/>
    <w:rsid w:val="66B72EA3"/>
    <w:rsid w:val="66F9345B"/>
    <w:rsid w:val="671E12CD"/>
    <w:rsid w:val="671F124A"/>
    <w:rsid w:val="672E6A68"/>
    <w:rsid w:val="677A33C6"/>
    <w:rsid w:val="679E6BDC"/>
    <w:rsid w:val="67B51A77"/>
    <w:rsid w:val="67DA75CB"/>
    <w:rsid w:val="681F6961"/>
    <w:rsid w:val="68610A2F"/>
    <w:rsid w:val="68646FFA"/>
    <w:rsid w:val="68805514"/>
    <w:rsid w:val="68FE7CFC"/>
    <w:rsid w:val="690C1BB6"/>
    <w:rsid w:val="6925185A"/>
    <w:rsid w:val="69310A96"/>
    <w:rsid w:val="69316E2F"/>
    <w:rsid w:val="69326A97"/>
    <w:rsid w:val="69455BA1"/>
    <w:rsid w:val="694E2071"/>
    <w:rsid w:val="69594684"/>
    <w:rsid w:val="69766163"/>
    <w:rsid w:val="697A3B33"/>
    <w:rsid w:val="69B45864"/>
    <w:rsid w:val="69BE4A75"/>
    <w:rsid w:val="69D44760"/>
    <w:rsid w:val="69F35D6B"/>
    <w:rsid w:val="6A152BF7"/>
    <w:rsid w:val="6A50044F"/>
    <w:rsid w:val="6A520EC7"/>
    <w:rsid w:val="6A97604D"/>
    <w:rsid w:val="6ACB2E94"/>
    <w:rsid w:val="6AF87E20"/>
    <w:rsid w:val="6B013B21"/>
    <w:rsid w:val="6B0B12D8"/>
    <w:rsid w:val="6B2F2ED2"/>
    <w:rsid w:val="6B322639"/>
    <w:rsid w:val="6B464A3E"/>
    <w:rsid w:val="6BD6216A"/>
    <w:rsid w:val="6C636C38"/>
    <w:rsid w:val="6C9A123C"/>
    <w:rsid w:val="6CAF24BA"/>
    <w:rsid w:val="6D6E5321"/>
    <w:rsid w:val="6DB34098"/>
    <w:rsid w:val="6DB545B6"/>
    <w:rsid w:val="6DBB41CD"/>
    <w:rsid w:val="6DE02FB4"/>
    <w:rsid w:val="6E514CED"/>
    <w:rsid w:val="6E801621"/>
    <w:rsid w:val="6EB563D5"/>
    <w:rsid w:val="6ED92677"/>
    <w:rsid w:val="6F107F60"/>
    <w:rsid w:val="6F225983"/>
    <w:rsid w:val="6F5B73A8"/>
    <w:rsid w:val="6F7C081B"/>
    <w:rsid w:val="6FEA1493"/>
    <w:rsid w:val="6FF24B46"/>
    <w:rsid w:val="6FFC5590"/>
    <w:rsid w:val="704D2948"/>
    <w:rsid w:val="706D1DD0"/>
    <w:rsid w:val="70856B87"/>
    <w:rsid w:val="70D25C17"/>
    <w:rsid w:val="70D40CAC"/>
    <w:rsid w:val="70D527EE"/>
    <w:rsid w:val="710029C8"/>
    <w:rsid w:val="71363D5E"/>
    <w:rsid w:val="715B5300"/>
    <w:rsid w:val="71B45BCE"/>
    <w:rsid w:val="71D27F8A"/>
    <w:rsid w:val="72247F25"/>
    <w:rsid w:val="72553024"/>
    <w:rsid w:val="72DD4C43"/>
    <w:rsid w:val="73122968"/>
    <w:rsid w:val="731F5D5E"/>
    <w:rsid w:val="7389424C"/>
    <w:rsid w:val="73C51AD5"/>
    <w:rsid w:val="741E793C"/>
    <w:rsid w:val="74364F98"/>
    <w:rsid w:val="745E3944"/>
    <w:rsid w:val="74654D0C"/>
    <w:rsid w:val="74A008C9"/>
    <w:rsid w:val="74D459E0"/>
    <w:rsid w:val="75036A1F"/>
    <w:rsid w:val="75094397"/>
    <w:rsid w:val="75234D2B"/>
    <w:rsid w:val="76314086"/>
    <w:rsid w:val="7635099D"/>
    <w:rsid w:val="76412DC5"/>
    <w:rsid w:val="766A1AF6"/>
    <w:rsid w:val="767030A6"/>
    <w:rsid w:val="76CD029C"/>
    <w:rsid w:val="76D1409C"/>
    <w:rsid w:val="773A4BF3"/>
    <w:rsid w:val="77762421"/>
    <w:rsid w:val="77AD5FF3"/>
    <w:rsid w:val="77B56B1F"/>
    <w:rsid w:val="77E25711"/>
    <w:rsid w:val="77E8302B"/>
    <w:rsid w:val="77EA073A"/>
    <w:rsid w:val="77F54F71"/>
    <w:rsid w:val="7803382B"/>
    <w:rsid w:val="780F09F4"/>
    <w:rsid w:val="78422778"/>
    <w:rsid w:val="788211DF"/>
    <w:rsid w:val="78A90480"/>
    <w:rsid w:val="78B172BC"/>
    <w:rsid w:val="79271BF9"/>
    <w:rsid w:val="79273F96"/>
    <w:rsid w:val="79934E18"/>
    <w:rsid w:val="79A55C4A"/>
    <w:rsid w:val="79EA4D39"/>
    <w:rsid w:val="79FD0732"/>
    <w:rsid w:val="79FD7F23"/>
    <w:rsid w:val="7A364017"/>
    <w:rsid w:val="7A631B7E"/>
    <w:rsid w:val="7A8265E1"/>
    <w:rsid w:val="7B686D42"/>
    <w:rsid w:val="7B753D46"/>
    <w:rsid w:val="7B841746"/>
    <w:rsid w:val="7B8E0650"/>
    <w:rsid w:val="7BA15D4D"/>
    <w:rsid w:val="7BA613DD"/>
    <w:rsid w:val="7C0D78CB"/>
    <w:rsid w:val="7C1E7BA1"/>
    <w:rsid w:val="7C283B5A"/>
    <w:rsid w:val="7C612C67"/>
    <w:rsid w:val="7C6C5AC7"/>
    <w:rsid w:val="7C8B6DF3"/>
    <w:rsid w:val="7CC6544B"/>
    <w:rsid w:val="7D0239FF"/>
    <w:rsid w:val="7D037207"/>
    <w:rsid w:val="7D5E40CD"/>
    <w:rsid w:val="7DA13140"/>
    <w:rsid w:val="7DC5438F"/>
    <w:rsid w:val="7DCD56F2"/>
    <w:rsid w:val="7DF3318D"/>
    <w:rsid w:val="7DF3461F"/>
    <w:rsid w:val="7E672EF8"/>
    <w:rsid w:val="7EAD12A3"/>
    <w:rsid w:val="7EBD7A50"/>
    <w:rsid w:val="7EBE5B9E"/>
    <w:rsid w:val="7EE458F4"/>
    <w:rsid w:val="7F001CE7"/>
    <w:rsid w:val="7F5C5AFE"/>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qFormat="1"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0"/>
    <w:qFormat/>
    <w:locked/>
    <w:uiPriority w:val="99"/>
    <w:pPr>
      <w:keepNext/>
      <w:overflowPunct w:val="0"/>
      <w:snapToGrid w:val="0"/>
      <w:spacing w:before="120" w:after="160" w:line="260" w:lineRule="auto"/>
      <w:ind w:left="431" w:hanging="432"/>
      <w:jc w:val="center"/>
      <w:outlineLvl w:val="0"/>
    </w:pPr>
    <w:rPr>
      <w:rFonts w:eastAsia="黑体"/>
      <w:b/>
      <w:bCs/>
      <w:color w:val="000000"/>
      <w:kern w:val="44"/>
      <w:sz w:val="30"/>
      <w:szCs w:val="30"/>
    </w:rPr>
  </w:style>
  <w:style w:type="paragraph" w:styleId="3">
    <w:name w:val="heading 2"/>
    <w:basedOn w:val="1"/>
    <w:next w:val="1"/>
    <w:qFormat/>
    <w:locked/>
    <w:uiPriority w:val="0"/>
    <w:pPr>
      <w:keepNext/>
      <w:keepLines/>
      <w:numPr>
        <w:ilvl w:val="1"/>
        <w:numId w:val="1"/>
      </w:numPr>
      <w:spacing w:before="260" w:after="260"/>
      <w:ind w:firstLine="0" w:firstLineChars="0"/>
      <w:outlineLvl w:val="1"/>
    </w:pPr>
    <w:rPr>
      <w:b/>
      <w:bCs/>
      <w:sz w:val="28"/>
      <w:szCs w:val="32"/>
    </w:rPr>
  </w:style>
  <w:style w:type="paragraph" w:styleId="4">
    <w:name w:val="heading 3"/>
    <w:basedOn w:val="1"/>
    <w:next w:val="1"/>
    <w:qFormat/>
    <w:locked/>
    <w:uiPriority w:val="0"/>
    <w:pPr>
      <w:keepNext/>
      <w:keepLines/>
      <w:spacing w:before="260" w:after="260" w:line="413" w:lineRule="auto"/>
      <w:outlineLvl w:val="2"/>
    </w:pPr>
    <w:rPr>
      <w:b/>
      <w:sz w:val="32"/>
    </w:rPr>
  </w:style>
  <w:style w:type="paragraph" w:styleId="5">
    <w:name w:val="heading 4"/>
    <w:basedOn w:val="1"/>
    <w:next w:val="6"/>
    <w:qFormat/>
    <w:locked/>
    <w:uiPriority w:val="0"/>
    <w:pPr>
      <w:keepNext/>
      <w:keepLines/>
      <w:spacing w:line="500" w:lineRule="exact"/>
      <w:jc w:val="center"/>
      <w:outlineLvl w:val="3"/>
    </w:pPr>
    <w:rPr>
      <w:rFonts w:ascii="Arial" w:hAnsi="Arial"/>
      <w:b/>
      <w:color w:val="000000"/>
    </w:rPr>
  </w:style>
  <w:style w:type="paragraph" w:styleId="8">
    <w:name w:val="heading 5"/>
    <w:basedOn w:val="1"/>
    <w:next w:val="1"/>
    <w:qFormat/>
    <w:locked/>
    <w:uiPriority w:val="0"/>
    <w:pPr>
      <w:keepNext/>
      <w:keepLines/>
      <w:numPr>
        <w:ilvl w:val="4"/>
        <w:numId w:val="2"/>
      </w:numPr>
      <w:tabs>
        <w:tab w:val="left" w:pos="1008"/>
      </w:tabs>
      <w:spacing w:line="240" w:lineRule="auto"/>
      <w:ind w:right="100" w:rightChars="100" w:firstLineChars="0"/>
      <w:jc w:val="center"/>
      <w:outlineLvl w:val="4"/>
    </w:pPr>
    <w:rPr>
      <w:b/>
      <w:bCs/>
      <w:sz w:val="21"/>
      <w:szCs w:val="21"/>
    </w:rPr>
  </w:style>
  <w:style w:type="character" w:default="1" w:styleId="34">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41"/>
    <w:qFormat/>
    <w:locked/>
    <w:uiPriority w:val="0"/>
    <w:pPr>
      <w:spacing w:line="264" w:lineRule="auto"/>
      <w:ind w:firstLine="476"/>
    </w:pPr>
    <w:rPr>
      <w:rFonts w:ascii="Arial" w:hAnsi="Arial" w:cs="Arial"/>
      <w:spacing w:val="10"/>
    </w:rPr>
  </w:style>
  <w:style w:type="paragraph" w:styleId="7">
    <w:name w:val="toc 1"/>
    <w:basedOn w:val="1"/>
    <w:next w:val="1"/>
    <w:qFormat/>
    <w:locked/>
    <w:uiPriority w:val="0"/>
  </w:style>
  <w:style w:type="paragraph" w:styleId="9">
    <w:name w:val="caption"/>
    <w:basedOn w:val="1"/>
    <w:next w:val="1"/>
    <w:link w:val="42"/>
    <w:qFormat/>
    <w:locked/>
    <w:uiPriority w:val="0"/>
    <w:pPr>
      <w:keepNext/>
      <w:framePr w:hSpace="180" w:wrap="around" w:vAnchor="text" w:hAnchor="text" w:xAlign="center" w:y="1"/>
      <w:ind w:firstLine="0" w:firstLineChars="0"/>
      <w:jc w:val="center"/>
    </w:pPr>
    <w:rPr>
      <w:rFonts w:eastAsia="黑体"/>
      <w:szCs w:val="20"/>
    </w:rPr>
  </w:style>
  <w:style w:type="paragraph" w:styleId="10">
    <w:name w:val="List Bullet"/>
    <w:basedOn w:val="1"/>
    <w:qFormat/>
    <w:locked/>
    <w:uiPriority w:val="0"/>
    <w:pPr>
      <w:numPr>
        <w:ilvl w:val="0"/>
        <w:numId w:val="1"/>
      </w:numPr>
      <w:contextualSpacing/>
    </w:pPr>
  </w:style>
  <w:style w:type="paragraph" w:styleId="11">
    <w:name w:val="annotation text"/>
    <w:basedOn w:val="1"/>
    <w:link w:val="43"/>
    <w:semiHidden/>
    <w:qFormat/>
    <w:uiPriority w:val="0"/>
    <w:pPr>
      <w:jc w:val="left"/>
    </w:pPr>
    <w:rPr>
      <w:kern w:val="0"/>
      <w:szCs w:val="20"/>
    </w:rPr>
  </w:style>
  <w:style w:type="paragraph" w:styleId="12">
    <w:name w:val="Body Text 3"/>
    <w:basedOn w:val="1"/>
    <w:qFormat/>
    <w:locked/>
    <w:uiPriority w:val="0"/>
    <w:pPr>
      <w:spacing w:after="120"/>
    </w:pPr>
    <w:rPr>
      <w:sz w:val="16"/>
      <w:szCs w:val="16"/>
    </w:rPr>
  </w:style>
  <w:style w:type="paragraph" w:styleId="13">
    <w:name w:val="Body Text"/>
    <w:basedOn w:val="1"/>
    <w:link w:val="44"/>
    <w:qFormat/>
    <w:uiPriority w:val="0"/>
    <w:pPr>
      <w:widowControl/>
      <w:snapToGrid w:val="0"/>
      <w:spacing w:before="60" w:after="160" w:line="259" w:lineRule="auto"/>
      <w:ind w:right="113"/>
    </w:pPr>
    <w:rPr>
      <w:kern w:val="0"/>
      <w:sz w:val="18"/>
      <w:szCs w:val="20"/>
    </w:rPr>
  </w:style>
  <w:style w:type="paragraph" w:styleId="14">
    <w:name w:val="Body Text Indent"/>
    <w:basedOn w:val="1"/>
    <w:next w:val="15"/>
    <w:link w:val="45"/>
    <w:qFormat/>
    <w:uiPriority w:val="0"/>
    <w:pPr>
      <w:spacing w:after="120"/>
      <w:ind w:left="420" w:leftChars="200"/>
    </w:pPr>
    <w:rPr>
      <w:kern w:val="0"/>
      <w:szCs w:val="20"/>
    </w:rPr>
  </w:style>
  <w:style w:type="paragraph" w:styleId="15">
    <w:name w:val="Body Text Indent 2"/>
    <w:basedOn w:val="1"/>
    <w:next w:val="1"/>
    <w:qFormat/>
    <w:locked/>
    <w:uiPriority w:val="0"/>
    <w:pPr>
      <w:spacing w:after="120" w:line="480" w:lineRule="auto"/>
      <w:ind w:left="420" w:leftChars="200"/>
    </w:pPr>
  </w:style>
  <w:style w:type="paragraph" w:styleId="16">
    <w:name w:val="Block Text"/>
    <w:qFormat/>
    <w:locked/>
    <w:uiPriority w:val="0"/>
    <w:pPr>
      <w:widowControl w:val="0"/>
      <w:spacing w:after="120" w:line="360" w:lineRule="auto"/>
      <w:ind w:left="1440" w:leftChars="700" w:right="700" w:rightChars="700"/>
      <w:jc w:val="both"/>
    </w:pPr>
    <w:rPr>
      <w:rFonts w:ascii="Times New Roman" w:hAnsi="Times New Roman" w:eastAsia="宋体" w:cs="黑体"/>
      <w:kern w:val="2"/>
      <w:sz w:val="24"/>
      <w:szCs w:val="21"/>
      <w:lang w:val="en-US" w:eastAsia="zh-CN" w:bidi="ar-SA"/>
    </w:rPr>
  </w:style>
  <w:style w:type="paragraph" w:styleId="17">
    <w:name w:val="Plain Text"/>
    <w:basedOn w:val="1"/>
    <w:link w:val="46"/>
    <w:unhideWhenUsed/>
    <w:qFormat/>
    <w:locked/>
    <w:uiPriority w:val="0"/>
    <w:pPr>
      <w:spacing w:line="240" w:lineRule="auto"/>
      <w:ind w:firstLine="0" w:firstLineChars="0"/>
    </w:pPr>
    <w:rPr>
      <w:rFonts w:ascii="宋体" w:hAnsi="Courier New" w:cs="Courier New"/>
      <w:sz w:val="21"/>
      <w:szCs w:val="21"/>
    </w:rPr>
  </w:style>
  <w:style w:type="paragraph" w:styleId="18">
    <w:name w:val="Date"/>
    <w:basedOn w:val="1"/>
    <w:next w:val="1"/>
    <w:link w:val="47"/>
    <w:qFormat/>
    <w:uiPriority w:val="0"/>
    <w:pPr>
      <w:ind w:left="100" w:leftChars="2500"/>
    </w:pPr>
    <w:rPr>
      <w:kern w:val="0"/>
      <w:szCs w:val="20"/>
    </w:rPr>
  </w:style>
  <w:style w:type="paragraph" w:styleId="19">
    <w:name w:val="Balloon Text"/>
    <w:basedOn w:val="1"/>
    <w:link w:val="48"/>
    <w:semiHidden/>
    <w:qFormat/>
    <w:uiPriority w:val="0"/>
    <w:rPr>
      <w:kern w:val="0"/>
      <w:sz w:val="18"/>
      <w:szCs w:val="20"/>
    </w:rPr>
  </w:style>
  <w:style w:type="paragraph" w:styleId="20">
    <w:name w:val="footer"/>
    <w:basedOn w:val="1"/>
    <w:link w:val="49"/>
    <w:qFormat/>
    <w:uiPriority w:val="99"/>
    <w:pPr>
      <w:tabs>
        <w:tab w:val="center" w:pos="4153"/>
        <w:tab w:val="right" w:pos="8306"/>
      </w:tabs>
      <w:snapToGrid w:val="0"/>
      <w:jc w:val="left"/>
    </w:pPr>
    <w:rPr>
      <w:kern w:val="0"/>
      <w:sz w:val="18"/>
      <w:szCs w:val="20"/>
    </w:rPr>
  </w:style>
  <w:style w:type="paragraph" w:styleId="21">
    <w:name w:val="header"/>
    <w:basedOn w:val="1"/>
    <w:next w:val="16"/>
    <w:link w:val="50"/>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List"/>
    <w:basedOn w:val="1"/>
    <w:qFormat/>
    <w:locked/>
    <w:uiPriority w:val="0"/>
    <w:pPr>
      <w:ind w:left="200" w:hanging="200"/>
    </w:pPr>
    <w:rPr>
      <w:sz w:val="21"/>
    </w:rPr>
  </w:style>
  <w:style w:type="paragraph" w:styleId="23">
    <w:name w:val="Body Text Indent 3"/>
    <w:basedOn w:val="1"/>
    <w:link w:val="51"/>
    <w:qFormat/>
    <w:locked/>
    <w:uiPriority w:val="0"/>
    <w:pPr>
      <w:spacing w:after="120"/>
      <w:ind w:left="420" w:leftChars="200"/>
    </w:pPr>
    <w:rPr>
      <w:sz w:val="16"/>
      <w:szCs w:val="16"/>
    </w:rPr>
  </w:style>
  <w:style w:type="paragraph" w:styleId="24">
    <w:name w:val="toc 2"/>
    <w:basedOn w:val="1"/>
    <w:next w:val="1"/>
    <w:qFormat/>
    <w:locked/>
    <w:uiPriority w:val="0"/>
    <w:pPr>
      <w:ind w:left="280"/>
      <w:jc w:val="left"/>
    </w:pPr>
    <w:rPr>
      <w:smallCaps/>
      <w:sz w:val="20"/>
    </w:rPr>
  </w:style>
  <w:style w:type="paragraph" w:styleId="25">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rPr>
  </w:style>
  <w:style w:type="paragraph" w:styleId="26">
    <w:name w:val="Normal (Web)"/>
    <w:basedOn w:val="1"/>
    <w:link w:val="52"/>
    <w:qFormat/>
    <w:uiPriority w:val="99"/>
    <w:pPr>
      <w:widowControl/>
      <w:spacing w:before="100" w:beforeAutospacing="1" w:after="100" w:afterAutospacing="1"/>
      <w:jc w:val="left"/>
    </w:pPr>
    <w:rPr>
      <w:rFonts w:ascii="宋体" w:hAnsi="宋体"/>
      <w:kern w:val="0"/>
      <w:szCs w:val="20"/>
    </w:rPr>
  </w:style>
  <w:style w:type="paragraph" w:styleId="27">
    <w:name w:val="annotation subject"/>
    <w:basedOn w:val="11"/>
    <w:next w:val="11"/>
    <w:link w:val="53"/>
    <w:semiHidden/>
    <w:qFormat/>
    <w:uiPriority w:val="0"/>
    <w:rPr>
      <w:b/>
    </w:rPr>
  </w:style>
  <w:style w:type="paragraph" w:styleId="28">
    <w:name w:val="Body Text First Indent"/>
    <w:basedOn w:val="13"/>
    <w:next w:val="29"/>
    <w:qFormat/>
    <w:locked/>
    <w:uiPriority w:val="0"/>
    <w:pPr>
      <w:ind w:firstLine="420" w:firstLineChars="100"/>
    </w:pPr>
    <w:rPr>
      <w:sz w:val="21"/>
    </w:rPr>
  </w:style>
  <w:style w:type="paragraph" w:styleId="29">
    <w:name w:val="Body Text First Indent 2"/>
    <w:basedOn w:val="14"/>
    <w:next w:val="30"/>
    <w:qFormat/>
    <w:locked/>
    <w:uiPriority w:val="0"/>
    <w:pPr>
      <w:ind w:firstLine="420"/>
    </w:pPr>
  </w:style>
  <w:style w:type="paragraph" w:customStyle="1" w:styleId="30">
    <w:name w:val="Default"/>
    <w:qFormat/>
    <w:uiPriority w:val="99"/>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Theme"/>
    <w:basedOn w:val="31"/>
    <w:qFormat/>
    <w:locked/>
    <w:uiPriority w:val="0"/>
    <w:pPr>
      <w:widowControl w:val="0"/>
      <w:spacing w:line="360" w:lineRule="auto"/>
      <w:ind w:firstLine="72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locked/>
    <w:uiPriority w:val="0"/>
    <w:rPr>
      <w:b/>
    </w:rPr>
  </w:style>
  <w:style w:type="character" w:styleId="36">
    <w:name w:val="page number"/>
    <w:qFormat/>
    <w:locked/>
    <w:uiPriority w:val="0"/>
  </w:style>
  <w:style w:type="character" w:styleId="37">
    <w:name w:val="Hyperlink"/>
    <w:qFormat/>
    <w:locked/>
    <w:uiPriority w:val="0"/>
    <w:rPr>
      <w:color w:val="0000FF"/>
      <w:u w:val="single"/>
    </w:rPr>
  </w:style>
  <w:style w:type="character" w:styleId="38">
    <w:name w:val="annotation reference"/>
    <w:semiHidden/>
    <w:qFormat/>
    <w:uiPriority w:val="0"/>
    <w:rPr>
      <w:sz w:val="21"/>
    </w:rPr>
  </w:style>
  <w:style w:type="paragraph" w:customStyle="1" w:styleId="39">
    <w:name w:val="正文缩进1"/>
    <w:basedOn w:val="1"/>
    <w:qFormat/>
    <w:uiPriority w:val="0"/>
    <w:pPr>
      <w:spacing w:line="500" w:lineRule="exact"/>
      <w:ind w:right="26" w:rightChars="8" w:firstLine="640"/>
    </w:pPr>
    <w:rPr>
      <w:rFonts w:ascii="楷体_GB2312" w:eastAsia="楷体_GB2312"/>
      <w:szCs w:val="32"/>
    </w:rPr>
  </w:style>
  <w:style w:type="character" w:customStyle="1" w:styleId="40">
    <w:name w:val="标题 1 Char"/>
    <w:link w:val="2"/>
    <w:qFormat/>
    <w:uiPriority w:val="99"/>
    <w:rPr>
      <w:rFonts w:ascii="Times New Roman" w:hAnsi="Times New Roman" w:eastAsia="黑体"/>
      <w:b/>
      <w:bCs/>
      <w:color w:val="000000"/>
      <w:kern w:val="44"/>
      <w:sz w:val="30"/>
      <w:szCs w:val="30"/>
    </w:rPr>
  </w:style>
  <w:style w:type="character" w:customStyle="1" w:styleId="41">
    <w:name w:val="正文缩进 Char"/>
    <w:link w:val="6"/>
    <w:qFormat/>
    <w:uiPriority w:val="0"/>
    <w:rPr>
      <w:rFonts w:ascii="Arial" w:hAnsi="Arial" w:cs="Arial"/>
      <w:spacing w:val="10"/>
      <w:kern w:val="2"/>
      <w:sz w:val="24"/>
      <w:szCs w:val="24"/>
    </w:rPr>
  </w:style>
  <w:style w:type="character" w:customStyle="1" w:styleId="42">
    <w:name w:val="题注 Char"/>
    <w:link w:val="9"/>
    <w:qFormat/>
    <w:uiPriority w:val="0"/>
    <w:rPr>
      <w:rFonts w:ascii="Times New Roman" w:hAnsi="Times New Roman" w:eastAsia="黑体"/>
      <w:szCs w:val="20"/>
    </w:rPr>
  </w:style>
  <w:style w:type="character" w:customStyle="1" w:styleId="43">
    <w:name w:val="批注文字 Char"/>
    <w:link w:val="11"/>
    <w:qFormat/>
    <w:locked/>
    <w:uiPriority w:val="0"/>
    <w:rPr>
      <w:rFonts w:ascii="Times New Roman" w:hAnsi="Times New Roman" w:eastAsia="宋体"/>
      <w:sz w:val="24"/>
    </w:rPr>
  </w:style>
  <w:style w:type="character" w:customStyle="1" w:styleId="44">
    <w:name w:val="正文文本 Char"/>
    <w:link w:val="13"/>
    <w:qFormat/>
    <w:locked/>
    <w:uiPriority w:val="0"/>
    <w:rPr>
      <w:sz w:val="18"/>
    </w:rPr>
  </w:style>
  <w:style w:type="character" w:customStyle="1" w:styleId="45">
    <w:name w:val="正文文本缩进 Char"/>
    <w:link w:val="14"/>
    <w:semiHidden/>
    <w:qFormat/>
    <w:locked/>
    <w:uiPriority w:val="0"/>
    <w:rPr>
      <w:rFonts w:ascii="Times New Roman" w:hAnsi="Times New Roman" w:eastAsia="宋体"/>
      <w:sz w:val="24"/>
    </w:rPr>
  </w:style>
  <w:style w:type="character" w:customStyle="1" w:styleId="46">
    <w:name w:val="纯文本 Char"/>
    <w:link w:val="17"/>
    <w:qFormat/>
    <w:uiPriority w:val="0"/>
    <w:rPr>
      <w:rFonts w:ascii="宋体" w:hAnsi="Courier New" w:cs="Courier New"/>
      <w:kern w:val="2"/>
      <w:sz w:val="21"/>
      <w:szCs w:val="21"/>
    </w:rPr>
  </w:style>
  <w:style w:type="character" w:customStyle="1" w:styleId="47">
    <w:name w:val="日期 Char"/>
    <w:link w:val="18"/>
    <w:qFormat/>
    <w:locked/>
    <w:uiPriority w:val="0"/>
    <w:rPr>
      <w:rFonts w:ascii="Times New Roman" w:hAnsi="Times New Roman" w:eastAsia="宋体"/>
      <w:sz w:val="24"/>
    </w:rPr>
  </w:style>
  <w:style w:type="character" w:customStyle="1" w:styleId="48">
    <w:name w:val="批注框文本 Char"/>
    <w:link w:val="19"/>
    <w:semiHidden/>
    <w:qFormat/>
    <w:locked/>
    <w:uiPriority w:val="0"/>
    <w:rPr>
      <w:rFonts w:ascii="Times New Roman" w:hAnsi="Times New Roman" w:eastAsia="宋体"/>
      <w:sz w:val="18"/>
    </w:rPr>
  </w:style>
  <w:style w:type="character" w:customStyle="1" w:styleId="49">
    <w:name w:val="页脚 Char"/>
    <w:link w:val="20"/>
    <w:qFormat/>
    <w:locked/>
    <w:uiPriority w:val="99"/>
    <w:rPr>
      <w:sz w:val="18"/>
    </w:rPr>
  </w:style>
  <w:style w:type="character" w:customStyle="1" w:styleId="50">
    <w:name w:val="页眉 Char"/>
    <w:link w:val="21"/>
    <w:qFormat/>
    <w:locked/>
    <w:uiPriority w:val="0"/>
    <w:rPr>
      <w:sz w:val="18"/>
    </w:rPr>
  </w:style>
  <w:style w:type="character" w:customStyle="1" w:styleId="51">
    <w:name w:val="正文文本缩进 3 Char"/>
    <w:link w:val="23"/>
    <w:qFormat/>
    <w:uiPriority w:val="0"/>
    <w:rPr>
      <w:kern w:val="2"/>
      <w:sz w:val="16"/>
      <w:szCs w:val="16"/>
    </w:rPr>
  </w:style>
  <w:style w:type="character" w:customStyle="1" w:styleId="52">
    <w:name w:val="普通(网站) Char"/>
    <w:link w:val="26"/>
    <w:qFormat/>
    <w:locked/>
    <w:uiPriority w:val="0"/>
    <w:rPr>
      <w:rFonts w:ascii="宋体" w:hAnsi="宋体" w:eastAsia="宋体"/>
      <w:sz w:val="24"/>
    </w:rPr>
  </w:style>
  <w:style w:type="character" w:customStyle="1" w:styleId="53">
    <w:name w:val="批注主题 Char"/>
    <w:link w:val="27"/>
    <w:semiHidden/>
    <w:qFormat/>
    <w:locked/>
    <w:uiPriority w:val="0"/>
    <w:rPr>
      <w:rFonts w:ascii="Times New Roman" w:hAnsi="Times New Roman" w:eastAsia="宋体"/>
      <w:b/>
      <w:kern w:val="2"/>
      <w:sz w:val="24"/>
    </w:rPr>
  </w:style>
  <w:style w:type="character" w:customStyle="1" w:styleId="54">
    <w:name w:val="日期 字符"/>
    <w:semiHidden/>
    <w:qFormat/>
    <w:uiPriority w:val="0"/>
    <w:rPr>
      <w:rFonts w:ascii="Times New Roman" w:hAnsi="Times New Roman" w:eastAsia="宋体"/>
      <w:sz w:val="24"/>
    </w:rPr>
  </w:style>
  <w:style w:type="character" w:customStyle="1" w:styleId="55">
    <w:name w:val="批注文字 字符1"/>
    <w:semiHidden/>
    <w:qFormat/>
    <w:uiPriority w:val="0"/>
    <w:rPr>
      <w:rFonts w:ascii="Times New Roman" w:hAnsi="Times New Roman" w:eastAsia="宋体"/>
      <w:sz w:val="24"/>
    </w:rPr>
  </w:style>
  <w:style w:type="character" w:customStyle="1" w:styleId="56">
    <w:name w:val="页脚 字符"/>
    <w:qFormat/>
    <w:uiPriority w:val="99"/>
  </w:style>
  <w:style w:type="character" w:customStyle="1" w:styleId="57">
    <w:name w:val="正文文本 字符1"/>
    <w:semiHidden/>
    <w:qFormat/>
    <w:uiPriority w:val="0"/>
    <w:rPr>
      <w:rFonts w:ascii="Times New Roman" w:hAnsi="Times New Roman" w:eastAsia="宋体"/>
      <w:sz w:val="24"/>
    </w:rPr>
  </w:style>
  <w:style w:type="character" w:customStyle="1" w:styleId="58">
    <w:name w:val="表格 Char"/>
    <w:link w:val="59"/>
    <w:qFormat/>
    <w:locked/>
    <w:uiPriority w:val="99"/>
    <w:rPr>
      <w:rFonts w:ascii="宋体"/>
      <w:sz w:val="21"/>
    </w:rPr>
  </w:style>
  <w:style w:type="paragraph" w:customStyle="1" w:styleId="59">
    <w:name w:val="表格"/>
    <w:basedOn w:val="22"/>
    <w:next w:val="1"/>
    <w:link w:val="58"/>
    <w:qFormat/>
    <w:uiPriority w:val="99"/>
    <w:pPr>
      <w:adjustRightInd w:val="0"/>
      <w:snapToGrid w:val="0"/>
      <w:spacing w:beforeLines="10" w:afterLines="10" w:line="259" w:lineRule="auto"/>
      <w:jc w:val="center"/>
    </w:pPr>
    <w:rPr>
      <w:rFonts w:ascii="宋体"/>
      <w:kern w:val="0"/>
      <w:szCs w:val="20"/>
    </w:rPr>
  </w:style>
  <w:style w:type="character" w:customStyle="1" w:styleId="60">
    <w:name w:val="表头 Char"/>
    <w:link w:val="61"/>
    <w:qFormat/>
    <w:uiPriority w:val="0"/>
    <w:rPr>
      <w:rFonts w:hint="default" w:ascii="Times New Roman" w:hAnsi="Times New Roman" w:eastAsia="黑体" w:cs="Arial"/>
      <w:color w:val="000000"/>
      <w:spacing w:val="10"/>
      <w:kern w:val="2"/>
      <w:position w:val="10"/>
      <w:sz w:val="21"/>
      <w:szCs w:val="24"/>
      <w:lang w:val="en-US" w:eastAsia="zh-CN" w:bidi="ar"/>
    </w:rPr>
  </w:style>
  <w:style w:type="paragraph" w:customStyle="1" w:styleId="61">
    <w:name w:val="表头"/>
    <w:basedOn w:val="6"/>
    <w:link w:val="60"/>
    <w:qFormat/>
    <w:uiPriority w:val="0"/>
    <w:pPr>
      <w:snapToGrid w:val="0"/>
      <w:spacing w:line="240" w:lineRule="auto"/>
      <w:ind w:firstLine="0"/>
      <w:jc w:val="center"/>
    </w:pPr>
    <w:rPr>
      <w:rFonts w:ascii="Times New Roman" w:hAnsi="Times New Roman" w:eastAsia="黑体" w:cs="Times New Roman"/>
      <w:color w:val="000000"/>
      <w:position w:val="10"/>
      <w:sz w:val="21"/>
    </w:rPr>
  </w:style>
  <w:style w:type="paragraph" w:customStyle="1" w:styleId="6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64">
    <w:name w:val="ZZ正文"/>
    <w:basedOn w:val="1"/>
    <w:qFormat/>
    <w:uiPriority w:val="0"/>
    <w:pPr>
      <w:snapToGrid w:val="0"/>
      <w:ind w:firstLine="200"/>
    </w:pPr>
    <w:rPr>
      <w:rFonts w:ascii="Calibri" w:hAnsi="Calibri" w:eastAsia="仿宋_GB2312"/>
      <w:snapToGrid w:val="0"/>
      <w:lang w:eastAsia="en-US"/>
    </w:rPr>
  </w:style>
  <w:style w:type="paragraph" w:customStyle="1" w:styleId="6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1"/>
      <w:szCs w:val="21"/>
    </w:rPr>
  </w:style>
  <w:style w:type="paragraph" w:customStyle="1" w:styleId="66">
    <w:name w:val="Lux 表格标题"/>
    <w:basedOn w:val="1"/>
    <w:qFormat/>
    <w:uiPriority w:val="0"/>
    <w:pPr>
      <w:ind w:firstLine="0" w:firstLineChars="0"/>
      <w:jc w:val="center"/>
    </w:pPr>
    <w:rPr>
      <w:b/>
      <w:szCs w:val="21"/>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报告书正文"/>
    <w:basedOn w:val="1"/>
    <w:qFormat/>
    <w:uiPriority w:val="0"/>
    <w:pPr>
      <w:spacing w:before="100" w:beforeAutospacing="1" w:line="500" w:lineRule="exact"/>
      <w:ind w:firstLine="200"/>
    </w:pPr>
  </w:style>
  <w:style w:type="paragraph" w:customStyle="1" w:styleId="69">
    <w:name w:val="文章正文文字"/>
    <w:basedOn w:val="1"/>
    <w:qFormat/>
    <w:uiPriority w:val="0"/>
    <w:pPr>
      <w:spacing w:line="520" w:lineRule="exact"/>
    </w:pPr>
  </w:style>
  <w:style w:type="paragraph" w:customStyle="1" w:styleId="70">
    <w:name w:val="Other|1"/>
    <w:basedOn w:val="1"/>
    <w:qFormat/>
    <w:uiPriority w:val="0"/>
    <w:pPr>
      <w:jc w:val="center"/>
    </w:pPr>
    <w:rPr>
      <w:sz w:val="20"/>
      <w:szCs w:val="20"/>
    </w:rPr>
  </w:style>
  <w:style w:type="paragraph" w:customStyle="1" w:styleId="71">
    <w:name w:val="中文报告书样式"/>
    <w:basedOn w:val="1"/>
    <w:qFormat/>
    <w:uiPriority w:val="0"/>
    <w:pPr>
      <w:adjustRightInd w:val="0"/>
      <w:spacing w:line="480" w:lineRule="atLeast"/>
      <w:ind w:firstLine="482"/>
      <w:textAlignment w:val="baseline"/>
    </w:pPr>
    <w:rPr>
      <w:kern w:val="24"/>
    </w:rPr>
  </w:style>
  <w:style w:type="paragraph" w:customStyle="1" w:styleId="72">
    <w:name w:val="小四 间距1.5 缩进2"/>
    <w:basedOn w:val="1"/>
    <w:qFormat/>
    <w:uiPriority w:val="0"/>
    <w:pPr>
      <w:ind w:firstLine="415" w:firstLineChars="173"/>
    </w:pPr>
  </w:style>
  <w:style w:type="paragraph" w:customStyle="1" w:styleId="73">
    <w:name w:val="列出段落1"/>
    <w:basedOn w:val="1"/>
    <w:qFormat/>
    <w:uiPriority w:val="34"/>
    <w:pPr>
      <w:framePr w:hSpace="180" w:wrap="around" w:vAnchor="text" w:hAnchor="text" w:xAlign="center" w:y="1"/>
      <w:numPr>
        <w:ilvl w:val="0"/>
        <w:numId w:val="3"/>
      </w:numPr>
      <w:adjustRightInd w:val="0"/>
      <w:snapToGrid w:val="0"/>
      <w:ind w:firstLine="0" w:firstLineChars="0"/>
    </w:pPr>
  </w:style>
  <w:style w:type="paragraph" w:customStyle="1" w:styleId="74">
    <w:name w:val="其他"/>
    <w:basedOn w:val="1"/>
    <w:qFormat/>
    <w:uiPriority w:val="0"/>
    <w:pPr>
      <w:shd w:val="clear" w:color="auto" w:fill="FFFFFF"/>
      <w:jc w:val="center"/>
    </w:pPr>
    <w:rPr>
      <w:rFonts w:eastAsia="Times New Roman"/>
      <w:sz w:val="20"/>
      <w:szCs w:val="20"/>
      <w:lang w:val="zh-CN" w:bidi="zh-CN"/>
    </w:rPr>
  </w:style>
  <w:style w:type="paragraph" w:customStyle="1" w:styleId="75">
    <w:name w:val="Date1"/>
    <w:basedOn w:val="1"/>
    <w:next w:val="1"/>
    <w:qFormat/>
    <w:uiPriority w:val="0"/>
    <w:pPr>
      <w:adjustRightInd w:val="0"/>
      <w:textAlignment w:val="baseline"/>
    </w:pPr>
  </w:style>
  <w:style w:type="paragraph" w:customStyle="1" w:styleId="76">
    <w:name w:val="Table Paragraph"/>
    <w:basedOn w:val="1"/>
    <w:qFormat/>
    <w:uiPriority w:val="1"/>
    <w:pPr>
      <w:autoSpaceDE w:val="0"/>
      <w:autoSpaceDN w:val="0"/>
      <w:spacing w:line="240" w:lineRule="auto"/>
      <w:ind w:firstLine="0" w:firstLineChars="0"/>
      <w:jc w:val="center"/>
    </w:pPr>
    <w:rPr>
      <w:rFonts w:ascii="宋体" w:hAnsi="宋体" w:cs="宋体"/>
      <w:kern w:val="0"/>
      <w:sz w:val="22"/>
      <w:lang w:val="zh-CN" w:bidi="zh-CN"/>
    </w:rPr>
  </w:style>
  <w:style w:type="paragraph" w:customStyle="1" w:styleId="77">
    <w:name w:val="表格文字2"/>
    <w:basedOn w:val="1"/>
    <w:qFormat/>
    <w:uiPriority w:val="0"/>
    <w:pPr>
      <w:tabs>
        <w:tab w:val="left" w:pos="277"/>
        <w:tab w:val="left" w:pos="600"/>
        <w:tab w:val="left" w:pos="780"/>
        <w:tab w:val="left" w:pos="2517"/>
      </w:tabs>
      <w:adjustRightInd w:val="0"/>
      <w:jc w:val="center"/>
      <w:textAlignment w:val="baseline"/>
    </w:pPr>
    <w:rPr>
      <w:kern w:val="0"/>
      <w:szCs w:val="21"/>
    </w:rPr>
  </w:style>
  <w:style w:type="paragraph" w:customStyle="1" w:styleId="78">
    <w:name w:val="报告正文"/>
    <w:basedOn w:val="1"/>
    <w:qFormat/>
    <w:uiPriority w:val="0"/>
    <w:pPr>
      <w:adjustRightInd w:val="0"/>
      <w:snapToGrid w:val="0"/>
      <w:spacing w:line="240" w:lineRule="auto"/>
      <w:ind w:firstLine="0" w:firstLineChars="0"/>
    </w:pPr>
    <w:rPr>
      <w:rFonts w:ascii="宋体" w:hAnsi="宋体" w:cs="宋体"/>
      <w:b/>
      <w:bCs/>
      <w:szCs w:val="21"/>
    </w:rPr>
  </w:style>
  <w:style w:type="paragraph" w:customStyle="1" w:styleId="79">
    <w:name w:val="正文（缩进）"/>
    <w:basedOn w:val="1"/>
    <w:qFormat/>
    <w:uiPriority w:val="0"/>
    <w:pPr>
      <w:adjustRightInd w:val="0"/>
      <w:snapToGrid w:val="0"/>
      <w:ind w:firstLine="200"/>
    </w:pPr>
    <w:rPr>
      <w:rFonts w:ascii="Calibri" w:hAnsi="Calibri"/>
      <w:kern w:val="0"/>
      <w:szCs w:val="22"/>
    </w:rPr>
  </w:style>
  <w:style w:type="table" w:customStyle="1" w:styleId="80">
    <w:name w:val="Table Normal"/>
    <w:semiHidden/>
    <w:qFormat/>
    <w:uiPriority w:val="2"/>
    <w:pPr>
      <w:widowControl w:val="0"/>
      <w:autoSpaceDE w:val="0"/>
      <w:autoSpaceDN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81">
    <w:name w:val="opsom1"/>
    <w:basedOn w:val="10"/>
    <w:qFormat/>
    <w:uiPriority w:val="0"/>
    <w:pPr>
      <w:widowControl/>
      <w:numPr>
        <w:numId w:val="0"/>
      </w:numPr>
      <w:tabs>
        <w:tab w:val="left" w:pos="888"/>
      </w:tabs>
      <w:ind w:left="284" w:hanging="284"/>
      <w:jc w:val="left"/>
    </w:pPr>
    <w:rPr>
      <w:rFonts w:ascii="Arial" w:hAnsi="Arial" w:eastAsia="Times New Roman" w:cs="宋体"/>
      <w:kern w:val="0"/>
      <w:sz w:val="22"/>
      <w:lang w:val="nl" w:eastAsia="en-US"/>
    </w:rPr>
  </w:style>
  <w:style w:type="character" w:customStyle="1" w:styleId="82">
    <w:name w:val="正文01 Char"/>
    <w:link w:val="83"/>
    <w:qFormat/>
    <w:locked/>
    <w:uiPriority w:val="0"/>
    <w:rPr>
      <w:kern w:val="2"/>
      <w:sz w:val="27"/>
    </w:rPr>
  </w:style>
  <w:style w:type="paragraph" w:customStyle="1" w:styleId="83">
    <w:name w:val="正文01"/>
    <w:basedOn w:val="1"/>
    <w:link w:val="82"/>
    <w:qFormat/>
    <w:uiPriority w:val="0"/>
    <w:pPr>
      <w:widowControl/>
      <w:spacing w:before="60" w:line="480" w:lineRule="exact"/>
      <w:ind w:firstLine="539" w:firstLineChars="0"/>
      <w:jc w:val="left"/>
    </w:pPr>
    <w:rPr>
      <w:sz w:val="27"/>
      <w:szCs w:val="20"/>
    </w:rPr>
  </w:style>
  <w:style w:type="paragraph" w:customStyle="1" w:styleId="84">
    <w:name w:val="表格文字（都）"/>
    <w:basedOn w:val="1"/>
    <w:qFormat/>
    <w:uiPriority w:val="0"/>
    <w:pPr>
      <w:widowControl/>
      <w:spacing w:line="240" w:lineRule="auto"/>
      <w:ind w:firstLine="0" w:firstLineChars="0"/>
      <w:jc w:val="center"/>
    </w:pPr>
    <w:rPr>
      <w:rFonts w:ascii="宋体" w:hAnsi="宋体" w:cs="宋体"/>
      <w:sz w:val="21"/>
      <w:szCs w:val="21"/>
    </w:rPr>
  </w:style>
  <w:style w:type="paragraph" w:customStyle="1" w:styleId="85">
    <w:name w:val="样式 正文缩进正文缩进2正文缩进 Char Char正文缩进 Char Char Char Char正文缩进 Char ..."/>
    <w:basedOn w:val="1"/>
    <w:qFormat/>
    <w:uiPriority w:val="99"/>
    <w:pPr>
      <w:ind w:firstLine="200" w:firstLineChars="0"/>
    </w:pPr>
    <w:rPr>
      <w:rFonts w:cs="宋体"/>
      <w:szCs w:val="20"/>
    </w:rPr>
  </w:style>
  <w:style w:type="paragraph" w:customStyle="1" w:styleId="86">
    <w:name w:val="_Style 84"/>
    <w:unhideWhenUsed/>
    <w:qFormat/>
    <w:uiPriority w:val="99"/>
    <w:rPr>
      <w:rFonts w:ascii="Times New Roman" w:hAnsi="Times New Roman" w:eastAsia="宋体" w:cs="Times New Roman"/>
      <w:kern w:val="2"/>
      <w:sz w:val="24"/>
      <w:szCs w:val="24"/>
      <w:lang w:val="en-US" w:eastAsia="zh-CN" w:bidi="ar-SA"/>
    </w:rPr>
  </w:style>
  <w:style w:type="character" w:customStyle="1" w:styleId="87">
    <w:name w:val="ky正文 Char"/>
    <w:link w:val="88"/>
    <w:qFormat/>
    <w:uiPriority w:val="0"/>
    <w:rPr>
      <w:rFonts w:cs="宋体"/>
      <w:sz w:val="24"/>
      <w:szCs w:val="24"/>
    </w:rPr>
  </w:style>
  <w:style w:type="paragraph" w:customStyle="1" w:styleId="88">
    <w:name w:val="ky正文"/>
    <w:basedOn w:val="1"/>
    <w:link w:val="87"/>
    <w:qFormat/>
    <w:uiPriority w:val="0"/>
    <w:pPr>
      <w:widowControl/>
      <w:spacing w:line="300" w:lineRule="auto"/>
      <w:ind w:firstLine="200"/>
      <w:jc w:val="left"/>
    </w:pPr>
    <w:rPr>
      <w:rFonts w:cs="宋体"/>
      <w:kern w:val="0"/>
    </w:rPr>
  </w:style>
  <w:style w:type="paragraph" w:customStyle="1" w:styleId="89">
    <w:name w:val="环评表名"/>
    <w:basedOn w:val="1"/>
    <w:next w:val="90"/>
    <w:link w:val="91"/>
    <w:qFormat/>
    <w:uiPriority w:val="0"/>
    <w:pPr>
      <w:widowControl/>
      <w:spacing w:line="240" w:lineRule="auto"/>
      <w:ind w:firstLine="0" w:firstLineChars="0"/>
      <w:jc w:val="center"/>
    </w:pPr>
    <w:rPr>
      <w:b/>
      <w:bCs/>
      <w:kern w:val="0"/>
    </w:rPr>
  </w:style>
  <w:style w:type="paragraph" w:customStyle="1" w:styleId="90">
    <w:name w:val="环评表格"/>
    <w:next w:val="1"/>
    <w:link w:val="92"/>
    <w:qFormat/>
    <w:uiPriority w:val="0"/>
    <w:pPr>
      <w:jc w:val="center"/>
    </w:pPr>
    <w:rPr>
      <w:rFonts w:ascii="Times New Roman" w:hAnsi="Times New Roman" w:eastAsia="宋体" w:cs="Times New Roman"/>
      <w:kern w:val="2"/>
      <w:sz w:val="21"/>
      <w:szCs w:val="21"/>
      <w:lang w:val="en-US" w:eastAsia="zh-CN" w:bidi="ar-SA"/>
    </w:rPr>
  </w:style>
  <w:style w:type="character" w:customStyle="1" w:styleId="91">
    <w:name w:val="环评表名 Char"/>
    <w:link w:val="89"/>
    <w:qFormat/>
    <w:uiPriority w:val="0"/>
    <w:rPr>
      <w:b/>
      <w:bCs/>
      <w:sz w:val="24"/>
      <w:szCs w:val="24"/>
    </w:rPr>
  </w:style>
  <w:style w:type="character" w:customStyle="1" w:styleId="92">
    <w:name w:val="环评表格 Char"/>
    <w:link w:val="90"/>
    <w:qFormat/>
    <w:uiPriority w:val="0"/>
    <w:rPr>
      <w:kern w:val="2"/>
      <w:sz w:val="21"/>
      <w:szCs w:val="21"/>
    </w:rPr>
  </w:style>
  <w:style w:type="paragraph" w:customStyle="1" w:styleId="93">
    <w:name w:val="环评正文"/>
    <w:basedOn w:val="1"/>
    <w:link w:val="94"/>
    <w:qFormat/>
    <w:uiPriority w:val="0"/>
    <w:pPr>
      <w:ind w:firstLine="480"/>
    </w:pPr>
    <w:rPr>
      <w:rFonts w:cs="宋体"/>
      <w:kern w:val="0"/>
    </w:rPr>
  </w:style>
  <w:style w:type="character" w:customStyle="1" w:styleId="94">
    <w:name w:val="环评正文 Char"/>
    <w:link w:val="93"/>
    <w:qFormat/>
    <w:uiPriority w:val="0"/>
    <w:rPr>
      <w:rFonts w:cs="宋体"/>
      <w:sz w:val="24"/>
      <w:szCs w:val="24"/>
    </w:rPr>
  </w:style>
  <w:style w:type="paragraph" w:customStyle="1" w:styleId="95">
    <w:name w:val="p0"/>
    <w:basedOn w:val="1"/>
    <w:qFormat/>
    <w:uiPriority w:val="0"/>
    <w:pPr>
      <w:widowControl/>
    </w:pPr>
    <w:rPr>
      <w:kern w:val="0"/>
      <w:szCs w:val="21"/>
    </w:rPr>
  </w:style>
  <w:style w:type="paragraph" w:customStyle="1" w:styleId="96">
    <w:name w:val="报告表正文标注文字"/>
    <w:basedOn w:val="97"/>
    <w:qFormat/>
    <w:uiPriority w:val="0"/>
    <w:pPr>
      <w:ind w:firstLine="482"/>
    </w:pPr>
    <w:rPr>
      <w:b/>
      <w:color w:val="FF0000"/>
      <w:lang w:val="zh-CN"/>
    </w:rPr>
  </w:style>
  <w:style w:type="paragraph" w:customStyle="1" w:styleId="97">
    <w:name w:val="报告表正文"/>
    <w:basedOn w:val="1"/>
    <w:qFormat/>
    <w:uiPriority w:val="0"/>
    <w:pPr>
      <w:ind w:firstLine="200"/>
    </w:pPr>
    <w:rPr>
      <w:color w:val="000000"/>
    </w:rPr>
  </w:style>
  <w:style w:type="character" w:customStyle="1" w:styleId="98">
    <w:name w:val="font31"/>
    <w:qFormat/>
    <w:uiPriority w:val="0"/>
    <w:rPr>
      <w:rFonts w:hint="default" w:ascii="Times New Roman" w:hAnsi="Times New Roman" w:cs="Times New Roman"/>
      <w:color w:val="FF0000"/>
      <w:sz w:val="21"/>
      <w:szCs w:val="21"/>
      <w:u w:val="none"/>
    </w:rPr>
  </w:style>
  <w:style w:type="character" w:customStyle="1" w:styleId="99">
    <w:name w:val="font21"/>
    <w:qFormat/>
    <w:uiPriority w:val="0"/>
    <w:rPr>
      <w:rFonts w:hint="eastAsia" w:ascii="宋体" w:hAnsi="宋体" w:eastAsia="宋体" w:cs="宋体"/>
      <w:color w:val="FF0000"/>
      <w:sz w:val="21"/>
      <w:szCs w:val="21"/>
      <w:u w:val="none"/>
    </w:rPr>
  </w:style>
  <w:style w:type="character" w:customStyle="1" w:styleId="100">
    <w:name w:val="报告表  段 Char"/>
    <w:link w:val="101"/>
    <w:qFormat/>
    <w:uiPriority w:val="0"/>
    <w:rPr>
      <w:rFonts w:ascii="宋体"/>
      <w:sz w:val="24"/>
    </w:rPr>
  </w:style>
  <w:style w:type="paragraph" w:customStyle="1" w:styleId="101">
    <w:name w:val="报告表  段"/>
    <w:basedOn w:val="1"/>
    <w:link w:val="100"/>
    <w:qFormat/>
    <w:uiPriority w:val="0"/>
    <w:pPr>
      <w:adjustRightInd w:val="0"/>
      <w:ind w:firstLine="505" w:firstLineChars="0"/>
      <w:textAlignment w:val="baseline"/>
    </w:pPr>
    <w:rPr>
      <w:rFonts w:ascii="宋体"/>
      <w:kern w:val="0"/>
      <w:szCs w:val="20"/>
    </w:rPr>
  </w:style>
  <w:style w:type="character" w:customStyle="1" w:styleId="102">
    <w:name w:val="qh46ko9"/>
    <w:qFormat/>
    <w:uiPriority w:val="0"/>
  </w:style>
  <w:style w:type="character" w:customStyle="1" w:styleId="103">
    <w:name w:val="rklbp4lp08"/>
    <w:qFormat/>
    <w:uiPriority w:val="0"/>
  </w:style>
  <w:style w:type="character" w:customStyle="1" w:styleId="104">
    <w:name w:val="dgv5i4jsr"/>
    <w:qFormat/>
    <w:uiPriority w:val="0"/>
  </w:style>
  <w:style w:type="character" w:customStyle="1" w:styleId="105">
    <w:name w:val="ppea545"/>
    <w:qFormat/>
    <w:uiPriority w:val="0"/>
  </w:style>
  <w:style w:type="character" w:customStyle="1" w:styleId="106">
    <w:name w:val="b9kz477zwho"/>
    <w:qFormat/>
    <w:uiPriority w:val="0"/>
  </w:style>
  <w:style w:type="character" w:customStyle="1" w:styleId="107">
    <w:name w:val="b6l607"/>
    <w:qFormat/>
    <w:uiPriority w:val="0"/>
  </w:style>
  <w:style w:type="character" w:customStyle="1" w:styleId="108">
    <w:name w:val="text_btylm"/>
    <w:qFormat/>
    <w:uiPriority w:val="0"/>
  </w:style>
  <w:style w:type="character" w:customStyle="1" w:styleId="109">
    <w:name w:val="font11"/>
    <w:basedOn w:val="34"/>
    <w:qFormat/>
    <w:uiPriority w:val="0"/>
    <w:rPr>
      <w:rFonts w:hint="default" w:ascii="Times New Roman" w:hAnsi="Times New Roman" w:cs="Times New Roman"/>
      <w:color w:val="000000"/>
      <w:sz w:val="21"/>
      <w:szCs w:val="21"/>
      <w:u w:val="none"/>
    </w:rPr>
  </w:style>
  <w:style w:type="character" w:customStyle="1" w:styleId="110">
    <w:name w:val="font01"/>
    <w:basedOn w:val="34"/>
    <w:qFormat/>
    <w:uiPriority w:val="0"/>
    <w:rPr>
      <w:rFonts w:hint="eastAsia" w:ascii="等线" w:hAnsi="等线" w:eastAsia="等线" w:cs="等线"/>
      <w:color w:val="000000"/>
      <w:sz w:val="22"/>
      <w:szCs w:val="22"/>
      <w:u w:val="none"/>
    </w:rPr>
  </w:style>
  <w:style w:type="character" w:customStyle="1" w:styleId="111">
    <w:name w:val="font41"/>
    <w:basedOn w:val="34"/>
    <w:qFormat/>
    <w:uiPriority w:val="0"/>
    <w:rPr>
      <w:rFonts w:ascii="Calibri" w:hAnsi="Calibri" w:cs="Calibri"/>
      <w:color w:val="000000"/>
      <w:sz w:val="22"/>
      <w:szCs w:val="22"/>
      <w:u w:val="none"/>
    </w:rPr>
  </w:style>
  <w:style w:type="paragraph" w:customStyle="1" w:styleId="112">
    <w:name w:val="Table Text"/>
    <w:basedOn w:val="1"/>
    <w:semiHidden/>
    <w:qFormat/>
    <w:uiPriority w:val="0"/>
    <w:rPr>
      <w:rFonts w:ascii="宋体" w:hAnsi="宋体" w:eastAsia="宋体" w:cs="宋体"/>
      <w:sz w:val="20"/>
      <w:szCs w:val="20"/>
      <w:lang w:val="en-US" w:eastAsia="en-US" w:bidi="ar-SA"/>
    </w:rPr>
  </w:style>
  <w:style w:type="character" w:customStyle="1" w:styleId="113">
    <w:name w:val="font51"/>
    <w:basedOn w:val="34"/>
    <w:qFormat/>
    <w:uiPriority w:val="0"/>
    <w:rPr>
      <w:rFonts w:hint="eastAsia" w:ascii="宋体" w:hAnsi="宋体" w:eastAsia="宋体" w:cs="宋体"/>
      <w:color w:val="2E75B5"/>
      <w:sz w:val="20"/>
      <w:szCs w:val="20"/>
      <w:u w:val="none"/>
    </w:rPr>
  </w:style>
  <w:style w:type="character" w:customStyle="1" w:styleId="114">
    <w:name w:val="font61"/>
    <w:basedOn w:val="34"/>
    <w:qFormat/>
    <w:uiPriority w:val="0"/>
    <w:rPr>
      <w:rFonts w:hint="eastAsia" w:ascii="宋体" w:hAnsi="宋体" w:eastAsia="宋体" w:cs="宋体"/>
      <w:color w:val="2E75B5"/>
      <w:sz w:val="21"/>
      <w:szCs w:val="21"/>
      <w:u w:val="none"/>
    </w:rPr>
  </w:style>
  <w:style w:type="character" w:customStyle="1" w:styleId="115">
    <w:name w:val="font71"/>
    <w:basedOn w:val="34"/>
    <w:qFormat/>
    <w:uiPriority w:val="0"/>
    <w:rPr>
      <w:rFonts w:hint="default" w:ascii="Times New Roman" w:hAnsi="Times New Roman" w:cs="Times New Roman"/>
      <w:b/>
      <w:bCs/>
      <w:color w:val="000000"/>
      <w:sz w:val="21"/>
      <w:szCs w:val="21"/>
      <w:u w:val="none"/>
    </w:rPr>
  </w:style>
  <w:style w:type="character" w:customStyle="1" w:styleId="116">
    <w:name w:val="font81"/>
    <w:basedOn w:val="3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14216</Words>
  <Characters>15249</Characters>
  <Lines>324</Lines>
  <Paragraphs>91</Paragraphs>
  <TotalTime>10</TotalTime>
  <ScaleCrop>false</ScaleCrop>
  <LinksUpToDate>false</LinksUpToDate>
  <CharactersWithSpaces>15606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2024-07-08T06:32:00Z</dcterms:created>
  <dc:creator>lhj</dc:creator>
  <cp:lastModifiedBy>时光若刻</cp:lastModifiedBy>
  <cp:lastPrinted>2024-06-14T09:40:00Z</cp:lastPrinted>
  <dcterms:modified xsi:type="dcterms:W3CDTF">2025-05-13T02:03:15Z</dcterms:modified>
  <dc:title>附件2</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5F23FFF6D01947D5BD5158A5A5D77027_13</vt:lpwstr>
  </property>
  <property fmtid="{D5CDD505-2E9C-101B-9397-08002B2CF9AE}" pid="4" name="KSOTemplateDocerSaveRecord">
    <vt:lpwstr>eyJoZGlkIjoiYmE1NjAwYTNjMmYxYjNiNjdjYTQ3ZWVjNTMwNmZjNGIiLCJ1c2VySWQiOiIzODg5NDM3MzcifQ==</vt:lpwstr>
  </property>
</Properties>
</file>